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bookmarkStart w:id="0" w:name="_Toc477433273"/>
    <w:bookmarkStart w:id="1" w:name="_Toc479002017"/>
    <w:p w:rsidR="00E637B3" w:rsidRPr="00B57342" w:rsidP="007272D3" w14:paraId="4DA220F6" w14:textId="77777777">
      <w:pPr>
        <w:pStyle w:val="ParaNum"/>
        <w:numPr>
          <w:ilvl w:val="0"/>
          <w:numId w:val="0"/>
        </w:numPr>
        <w:rPr>
          <w:rFonts w:cs="Times New Roman"/>
          <w:b/>
          <w:szCs w:val="22"/>
        </w:rPr>
      </w:pPr>
      <w:r w:rsidRPr="00FC68E8">
        <w:rPr>
          <w:rFonts w:cs="Times New Roman"/>
          <w:noProof/>
          <w:szCs w:val="22"/>
          <w:lang w:eastAsia="en-US"/>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436880</wp:posOffset>
                </wp:positionV>
                <wp:extent cx="7878445" cy="1943100"/>
                <wp:effectExtent l="0" t="0" r="8255" b="0"/>
                <wp:wrapNone/>
                <wp:docPr id="4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78445" cy="1943100"/>
                        </a:xfrm>
                        <a:prstGeom prst="rect">
                          <a:avLst/>
                        </a:prstGeom>
                        <a:solidFill>
                          <a:srgbClr val="33CC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620.35pt;height:153pt;margin-top:34.4pt;margin-left:569.15pt;mso-height-percent:0;mso-height-relative:page;mso-position-horizontal:right;mso-position-horizontal-relative:page;mso-width-percent:0;mso-width-relative:page;mso-wrap-distance-bottom:0;mso-wrap-distance-left:9pt;mso-wrap-distance-right:9pt;mso-wrap-distance-top:0;mso-wrap-style:square;position:absolute;visibility:visible;v-text-anchor:top;z-index:251660288" fillcolor="#3cc" stroked="f"/>
            </w:pict>
          </mc:Fallback>
        </mc:AlternateContent>
      </w:r>
    </w:p>
    <w:p w:rsidR="00E637B3" w:rsidRPr="00B57342" w:rsidP="00E637B3" w14:paraId="5FD7660B" w14:textId="77777777">
      <w:pPr>
        <w:pStyle w:val="ParaNum"/>
        <w:numPr>
          <w:ilvl w:val="0"/>
          <w:numId w:val="0"/>
        </w:numPr>
        <w:jc w:val="center"/>
        <w:rPr>
          <w:rFonts w:cs="Times New Roman"/>
          <w:b/>
          <w:szCs w:val="22"/>
        </w:rPr>
      </w:pPr>
      <w:r w:rsidRPr="00FC68E8">
        <w:rPr>
          <w:rFonts w:cs="Times New Roman"/>
          <w:noProof/>
          <w:szCs w:val="22"/>
          <w:lang w:eastAsia="en-US"/>
        </w:rPr>
        <mc:AlternateContent>
          <mc:Choice Requires="wps">
            <w:drawing>
              <wp:anchor distT="0" distB="0" distL="114300" distR="114300" simplePos="0" relativeHeight="251661312" behindDoc="0" locked="0" layoutInCell="1" allowOverlap="1">
                <wp:simplePos x="0" y="0"/>
                <wp:positionH relativeFrom="margin">
                  <wp:posOffset>-159385</wp:posOffset>
                </wp:positionH>
                <wp:positionV relativeFrom="paragraph">
                  <wp:posOffset>175437</wp:posOffset>
                </wp:positionV>
                <wp:extent cx="6400800" cy="1935126"/>
                <wp:effectExtent l="0" t="0" r="0" b="8255"/>
                <wp:wrapNone/>
                <wp:docPr id="44"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193512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407C9" w:rsidRPr="008A4B7B" w:rsidP="00E637B3" w14:textId="77777777">
                            <w:pPr>
                              <w:pStyle w:val="ParaNum"/>
                              <w:numPr>
                                <w:ilvl w:val="0"/>
                                <w:numId w:val="0"/>
                              </w:numPr>
                              <w:spacing w:after="0"/>
                              <w:jc w:val="center"/>
                              <w:rPr>
                                <w:rFonts w:ascii="Calibri" w:hAnsi="Calibri"/>
                                <w:b/>
                                <w:sz w:val="52"/>
                                <w:szCs w:val="52"/>
                              </w:rPr>
                            </w:pPr>
                            <w:r w:rsidRPr="008A4B7B">
                              <w:rPr>
                                <w:rFonts w:ascii="Calibri" w:hAnsi="Calibri"/>
                                <w:b/>
                                <w:sz w:val="52"/>
                                <w:szCs w:val="52"/>
                              </w:rPr>
                              <w:t>Report:</w:t>
                            </w:r>
                          </w:p>
                          <w:p w:rsidR="00B407C9" w:rsidP="00E637B3" w14:textId="77777777">
                            <w:pPr>
                              <w:pStyle w:val="ParaNum"/>
                              <w:numPr>
                                <w:ilvl w:val="0"/>
                                <w:numId w:val="0"/>
                              </w:numPr>
                              <w:spacing w:after="0"/>
                              <w:jc w:val="center"/>
                              <w:rPr>
                                <w:rFonts w:ascii="Calibri" w:hAnsi="Calibri"/>
                                <w:b/>
                                <w:sz w:val="52"/>
                                <w:szCs w:val="52"/>
                              </w:rPr>
                            </w:pPr>
                            <w:r>
                              <w:rPr>
                                <w:rFonts w:ascii="Calibri" w:hAnsi="Calibri"/>
                                <w:b/>
                                <w:sz w:val="52"/>
                                <w:szCs w:val="52"/>
                              </w:rPr>
                              <w:t>October 3</w:t>
                            </w:r>
                            <w:r w:rsidRPr="008A4B7B">
                              <w:rPr>
                                <w:rFonts w:ascii="Calibri" w:hAnsi="Calibri"/>
                                <w:b/>
                                <w:sz w:val="52"/>
                                <w:szCs w:val="52"/>
                              </w:rPr>
                              <w:t>, 201</w:t>
                            </w:r>
                            <w:r>
                              <w:rPr>
                                <w:rFonts w:ascii="Calibri" w:hAnsi="Calibri"/>
                                <w:b/>
                                <w:sz w:val="52"/>
                                <w:szCs w:val="52"/>
                              </w:rPr>
                              <w:t>8</w:t>
                            </w:r>
                            <w:r w:rsidRPr="008A4B7B">
                              <w:rPr>
                                <w:rFonts w:ascii="Calibri" w:hAnsi="Calibri"/>
                                <w:b/>
                                <w:sz w:val="52"/>
                                <w:szCs w:val="52"/>
                              </w:rPr>
                              <w:t xml:space="preserve"> Nationwide </w:t>
                            </w:r>
                            <w:r>
                              <w:rPr>
                                <w:rFonts w:ascii="Calibri" w:hAnsi="Calibri"/>
                                <w:b/>
                                <w:sz w:val="52"/>
                                <w:szCs w:val="52"/>
                              </w:rPr>
                              <w:t>WEA and EAS</w:t>
                            </w:r>
                            <w:r w:rsidRPr="008A4B7B">
                              <w:rPr>
                                <w:rFonts w:ascii="Calibri" w:hAnsi="Calibri"/>
                                <w:b/>
                                <w:sz w:val="52"/>
                                <w:szCs w:val="52"/>
                              </w:rPr>
                              <w:t xml:space="preserve"> Test</w:t>
                            </w:r>
                          </w:p>
                          <w:p w:rsidR="00B407C9" w:rsidP="00E637B3" w14:textId="77777777">
                            <w:pPr>
                              <w:pStyle w:val="ParaNum"/>
                              <w:numPr>
                                <w:ilvl w:val="0"/>
                                <w:numId w:val="0"/>
                              </w:numPr>
                              <w:spacing w:after="0"/>
                              <w:jc w:val="center"/>
                              <w:rPr>
                                <w:rFonts w:ascii="Calibri" w:hAnsi="Calibri"/>
                                <w:b/>
                                <w:sz w:val="28"/>
                                <w:szCs w:val="28"/>
                              </w:rPr>
                            </w:pPr>
                          </w:p>
                          <w:p w:rsidR="00B407C9" w:rsidRPr="00E3078E" w:rsidP="00E637B3" w14:textId="68037E46">
                            <w:pPr>
                              <w:pStyle w:val="ParaNum"/>
                              <w:numPr>
                                <w:ilvl w:val="0"/>
                                <w:numId w:val="0"/>
                              </w:numPr>
                              <w:spacing w:after="0"/>
                              <w:jc w:val="center"/>
                              <w:rPr>
                                <w:rFonts w:ascii="Calibri" w:hAnsi="Calibri"/>
                                <w:b/>
                                <w:sz w:val="28"/>
                                <w:szCs w:val="28"/>
                              </w:rPr>
                            </w:pPr>
                            <w:r>
                              <w:rPr>
                                <w:rFonts w:ascii="Calibri" w:hAnsi="Calibri"/>
                                <w:b/>
                                <w:sz w:val="28"/>
                                <w:szCs w:val="28"/>
                              </w:rPr>
                              <w:t>April</w:t>
                            </w:r>
                            <w:r w:rsidRPr="008D074A">
                              <w:rPr>
                                <w:rFonts w:ascii="Calibri" w:hAnsi="Calibri"/>
                                <w:b/>
                                <w:sz w:val="28"/>
                                <w:szCs w:val="28"/>
                              </w:rPr>
                              <w:t xml:space="preserve"> </w:t>
                            </w:r>
                            <w:r w:rsidRPr="00E3078E">
                              <w:rPr>
                                <w:rFonts w:ascii="Calibri" w:hAnsi="Calibri"/>
                                <w:b/>
                                <w:sz w:val="28"/>
                                <w:szCs w:val="28"/>
                              </w:rPr>
                              <w:t>201</w:t>
                            </w:r>
                            <w:r>
                              <w:rPr>
                                <w:rFonts w:ascii="Calibri" w:hAnsi="Calibri"/>
                                <w:b/>
                                <w:sz w:val="28"/>
                                <w:szCs w:val="28"/>
                              </w:rPr>
                              <w:t>9</w:t>
                            </w:r>
                          </w:p>
                          <w:p w:rsidR="00B407C9" w:rsidRPr="008A4B7B" w:rsidP="00E637B3" w14:textId="77777777">
                            <w:pPr>
                              <w:jc w:val="center"/>
                              <w:rPr>
                                <w:sz w:val="52"/>
                                <w:szCs w:val="52"/>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width:7in;height:152.35pt;margin-top:13.8pt;margin-left:-12.55pt;mso-height-percent:0;mso-height-relative:page;mso-position-horizontal-relative:margin;mso-width-percent:0;mso-width-relative:page;mso-wrap-distance-bottom:0;mso-wrap-distance-left:9pt;mso-wrap-distance-right:9pt;mso-wrap-distance-top:0;mso-wrap-style:square;position:absolute;visibility:visible;v-text-anchor:top;z-index:251662336" filled="f" stroked="f">
                <v:textbox>
                  <w:txbxContent>
                    <w:p w:rsidR="00B407C9" w:rsidRPr="008A4B7B" w:rsidP="00E637B3" w14:paraId="2C5D6CDC" w14:textId="77777777">
                      <w:pPr>
                        <w:pStyle w:val="ParaNum"/>
                        <w:numPr>
                          <w:ilvl w:val="0"/>
                          <w:numId w:val="0"/>
                        </w:numPr>
                        <w:spacing w:after="0"/>
                        <w:jc w:val="center"/>
                        <w:rPr>
                          <w:rFonts w:ascii="Calibri" w:hAnsi="Calibri"/>
                          <w:b/>
                          <w:sz w:val="52"/>
                          <w:szCs w:val="52"/>
                        </w:rPr>
                      </w:pPr>
                      <w:r w:rsidRPr="008A4B7B">
                        <w:rPr>
                          <w:rFonts w:ascii="Calibri" w:hAnsi="Calibri"/>
                          <w:b/>
                          <w:sz w:val="52"/>
                          <w:szCs w:val="52"/>
                        </w:rPr>
                        <w:t>Report:</w:t>
                      </w:r>
                    </w:p>
                    <w:p w:rsidR="00B407C9" w:rsidP="00E637B3" w14:paraId="1725EF45" w14:textId="77777777">
                      <w:pPr>
                        <w:pStyle w:val="ParaNum"/>
                        <w:numPr>
                          <w:ilvl w:val="0"/>
                          <w:numId w:val="0"/>
                        </w:numPr>
                        <w:spacing w:after="0"/>
                        <w:jc w:val="center"/>
                        <w:rPr>
                          <w:rFonts w:ascii="Calibri" w:hAnsi="Calibri"/>
                          <w:b/>
                          <w:sz w:val="52"/>
                          <w:szCs w:val="52"/>
                        </w:rPr>
                      </w:pPr>
                      <w:r>
                        <w:rPr>
                          <w:rFonts w:ascii="Calibri" w:hAnsi="Calibri"/>
                          <w:b/>
                          <w:sz w:val="52"/>
                          <w:szCs w:val="52"/>
                        </w:rPr>
                        <w:t>October 3</w:t>
                      </w:r>
                      <w:r w:rsidRPr="008A4B7B">
                        <w:rPr>
                          <w:rFonts w:ascii="Calibri" w:hAnsi="Calibri"/>
                          <w:b/>
                          <w:sz w:val="52"/>
                          <w:szCs w:val="52"/>
                        </w:rPr>
                        <w:t>, 201</w:t>
                      </w:r>
                      <w:r>
                        <w:rPr>
                          <w:rFonts w:ascii="Calibri" w:hAnsi="Calibri"/>
                          <w:b/>
                          <w:sz w:val="52"/>
                          <w:szCs w:val="52"/>
                        </w:rPr>
                        <w:t>8</w:t>
                      </w:r>
                      <w:r w:rsidRPr="008A4B7B">
                        <w:rPr>
                          <w:rFonts w:ascii="Calibri" w:hAnsi="Calibri"/>
                          <w:b/>
                          <w:sz w:val="52"/>
                          <w:szCs w:val="52"/>
                        </w:rPr>
                        <w:t xml:space="preserve"> Nationwide </w:t>
                      </w:r>
                      <w:r>
                        <w:rPr>
                          <w:rFonts w:ascii="Calibri" w:hAnsi="Calibri"/>
                          <w:b/>
                          <w:sz w:val="52"/>
                          <w:szCs w:val="52"/>
                        </w:rPr>
                        <w:t>WEA and EAS</w:t>
                      </w:r>
                      <w:r w:rsidRPr="008A4B7B">
                        <w:rPr>
                          <w:rFonts w:ascii="Calibri" w:hAnsi="Calibri"/>
                          <w:b/>
                          <w:sz w:val="52"/>
                          <w:szCs w:val="52"/>
                        </w:rPr>
                        <w:t xml:space="preserve"> Test</w:t>
                      </w:r>
                    </w:p>
                    <w:p w:rsidR="00B407C9" w:rsidP="00E637B3" w14:paraId="5C68F87A" w14:textId="77777777">
                      <w:pPr>
                        <w:pStyle w:val="ParaNum"/>
                        <w:numPr>
                          <w:ilvl w:val="0"/>
                          <w:numId w:val="0"/>
                        </w:numPr>
                        <w:spacing w:after="0"/>
                        <w:jc w:val="center"/>
                        <w:rPr>
                          <w:rFonts w:ascii="Calibri" w:hAnsi="Calibri"/>
                          <w:b/>
                          <w:sz w:val="28"/>
                          <w:szCs w:val="28"/>
                        </w:rPr>
                      </w:pPr>
                    </w:p>
                    <w:p w:rsidR="00B407C9" w:rsidRPr="00E3078E" w:rsidP="00E637B3" w14:paraId="421155E2" w14:textId="68037E46">
                      <w:pPr>
                        <w:pStyle w:val="ParaNum"/>
                        <w:numPr>
                          <w:ilvl w:val="0"/>
                          <w:numId w:val="0"/>
                        </w:numPr>
                        <w:spacing w:after="0"/>
                        <w:jc w:val="center"/>
                        <w:rPr>
                          <w:rFonts w:ascii="Calibri" w:hAnsi="Calibri"/>
                          <w:b/>
                          <w:sz w:val="28"/>
                          <w:szCs w:val="28"/>
                        </w:rPr>
                      </w:pPr>
                      <w:r>
                        <w:rPr>
                          <w:rFonts w:ascii="Calibri" w:hAnsi="Calibri"/>
                          <w:b/>
                          <w:sz w:val="28"/>
                          <w:szCs w:val="28"/>
                        </w:rPr>
                        <w:t>April</w:t>
                      </w:r>
                      <w:r w:rsidRPr="008D074A">
                        <w:rPr>
                          <w:rFonts w:ascii="Calibri" w:hAnsi="Calibri"/>
                          <w:b/>
                          <w:sz w:val="28"/>
                          <w:szCs w:val="28"/>
                        </w:rPr>
                        <w:t xml:space="preserve"> </w:t>
                      </w:r>
                      <w:r w:rsidRPr="00E3078E">
                        <w:rPr>
                          <w:rFonts w:ascii="Calibri" w:hAnsi="Calibri"/>
                          <w:b/>
                          <w:sz w:val="28"/>
                          <w:szCs w:val="28"/>
                        </w:rPr>
                        <w:t>201</w:t>
                      </w:r>
                      <w:r>
                        <w:rPr>
                          <w:rFonts w:ascii="Calibri" w:hAnsi="Calibri"/>
                          <w:b/>
                          <w:sz w:val="28"/>
                          <w:szCs w:val="28"/>
                        </w:rPr>
                        <w:t>9</w:t>
                      </w:r>
                    </w:p>
                    <w:p w:rsidR="00B407C9" w:rsidRPr="008A4B7B" w:rsidP="00E637B3" w14:paraId="2E1898B8" w14:textId="77777777">
                      <w:pPr>
                        <w:jc w:val="center"/>
                        <w:rPr>
                          <w:sz w:val="52"/>
                          <w:szCs w:val="52"/>
                        </w:rPr>
                      </w:pPr>
                    </w:p>
                  </w:txbxContent>
                </v:textbox>
                <w10:wrap anchorx="margin"/>
              </v:shape>
            </w:pict>
          </mc:Fallback>
        </mc:AlternateContent>
      </w:r>
    </w:p>
    <w:p w:rsidR="00E637B3" w:rsidRPr="00B57342" w:rsidP="00E637B3" w14:paraId="65729B52" w14:textId="77777777">
      <w:pPr>
        <w:pStyle w:val="ParaNum"/>
        <w:numPr>
          <w:ilvl w:val="0"/>
          <w:numId w:val="0"/>
        </w:numPr>
        <w:jc w:val="center"/>
        <w:rPr>
          <w:rFonts w:cs="Times New Roman"/>
          <w:b/>
          <w:szCs w:val="22"/>
        </w:rPr>
      </w:pPr>
    </w:p>
    <w:p w:rsidR="00E637B3" w:rsidRPr="00B57342" w:rsidP="00E637B3" w14:paraId="78BD8522" w14:textId="77777777">
      <w:pPr>
        <w:pStyle w:val="ParaNum"/>
        <w:numPr>
          <w:ilvl w:val="0"/>
          <w:numId w:val="0"/>
        </w:numPr>
        <w:jc w:val="center"/>
        <w:rPr>
          <w:rFonts w:cs="Times New Roman"/>
          <w:b/>
          <w:szCs w:val="22"/>
        </w:rPr>
      </w:pPr>
    </w:p>
    <w:p w:rsidR="00E637B3" w:rsidRPr="00B57342" w:rsidP="00E637B3" w14:paraId="19A95C38" w14:textId="77777777">
      <w:pPr>
        <w:spacing w:after="120"/>
        <w:rPr>
          <w:rFonts w:cs="Times New Roman"/>
          <w:szCs w:val="22"/>
        </w:rPr>
      </w:pPr>
      <w:r w:rsidRPr="00FC68E8">
        <w:rPr>
          <w:rFonts w:cs="Times New Roman"/>
          <w:noProof/>
          <w:szCs w:val="22"/>
          <w:lang w:eastAsia="en-US"/>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6707505</wp:posOffset>
                </wp:positionV>
                <wp:extent cx="6743700" cy="355600"/>
                <wp:effectExtent l="0" t="0" r="0" b="6350"/>
                <wp:wrapNone/>
                <wp:docPr id="43"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355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407C9" w:rsidRPr="00E6447B" w:rsidP="00E637B3" w14:textId="77777777">
                            <w:pPr>
                              <w:jc w:val="center"/>
                              <w:rPr>
                                <w:rFonts w:ascii="Calibri" w:hAnsi="Calibri"/>
                                <w:b/>
                                <w:sz w:val="28"/>
                                <w:szCs w:val="28"/>
                              </w:rPr>
                            </w:pPr>
                            <w:r>
                              <w:rPr>
                                <w:rFonts w:ascii="Calibri" w:hAnsi="Calibri"/>
                                <w:b/>
                                <w:sz w:val="28"/>
                                <w:szCs w:val="28"/>
                              </w:rPr>
                              <w:t xml:space="preserve">Federal Communications Commission </w:t>
                            </w:r>
                            <w:r>
                              <w:rPr>
                                <w:rFonts w:ascii="Wingdings 2" w:hAnsi="Wingdings 2"/>
                                <w:b/>
                                <w:sz w:val="28"/>
                                <w:szCs w:val="28"/>
                              </w:rPr>
                              <w:sym w:font="Wingdings 2" w:char="F097"/>
                            </w:r>
                            <w:r>
                              <w:rPr>
                                <w:rFonts w:ascii="Calibri" w:hAnsi="Calibri"/>
                                <w:b/>
                                <w:sz w:val="28"/>
                                <w:szCs w:val="28"/>
                              </w:rPr>
                              <w:t xml:space="preserve"> </w:t>
                            </w:r>
                            <w:smartTag w:uri="urn:schemas-microsoft-com:office:smarttags" w:element="address">
                              <w:smartTag w:uri="urn:schemas-microsoft-com:office:smarttags" w:element="Street">
                                <w:r>
                                  <w:rPr>
                                    <w:rFonts w:ascii="Calibri" w:hAnsi="Calibri"/>
                                    <w:b/>
                                    <w:sz w:val="28"/>
                                    <w:szCs w:val="28"/>
                                  </w:rPr>
                                  <w:t>445 12th Street</w:t>
                                </w:r>
                              </w:smartTag>
                              <w:r>
                                <w:rPr>
                                  <w:rFonts w:ascii="Calibri" w:hAnsi="Calibri"/>
                                  <w:b/>
                                  <w:sz w:val="28"/>
                                  <w:szCs w:val="28"/>
                                </w:rPr>
                                <w:t xml:space="preserve">, </w:t>
                              </w:r>
                              <w:smartTag w:uri="urn:schemas-microsoft-com:office:smarttags" w:element="PostalCode">
                                <w:smartTag w:uri="urn:schemas-microsoft-com:office:smarttags" w:element="City">
                                  <w:r>
                                    <w:rPr>
                                      <w:rFonts w:ascii="Calibri" w:hAnsi="Calibri"/>
                                      <w:b/>
                                      <w:sz w:val="28"/>
                                      <w:szCs w:val="28"/>
                                    </w:rPr>
                                    <w:t xml:space="preserve">SW </w:t>
                                  </w:r>
                                  <w:r>
                                    <w:rPr>
                                      <w:rFonts w:ascii="Wingdings 2" w:hAnsi="Wingdings 2"/>
                                      <w:b/>
                                      <w:sz w:val="28"/>
                                      <w:szCs w:val="28"/>
                                    </w:rPr>
                                    <w:sym w:font="Wingdings 2" w:char="F097"/>
                                  </w:r>
                                  <w:r>
                                    <w:rPr>
                                      <w:rFonts w:ascii="Calibri" w:hAnsi="Calibri"/>
                                      <w:b/>
                                      <w:sz w:val="28"/>
                                      <w:szCs w:val="28"/>
                                    </w:rPr>
                                    <w:t>Washington</w:t>
                                  </w:r>
                                </w:smartTag>
                              </w:smartTag>
                              <w:r>
                                <w:rPr>
                                  <w:rFonts w:ascii="Calibri" w:hAnsi="Calibri"/>
                                  <w:b/>
                                  <w:sz w:val="28"/>
                                  <w:szCs w:val="28"/>
                                </w:rPr>
                                <w:t xml:space="preserve">, </w:t>
                              </w:r>
                              <w:smartTag w:uri="urn:schemas-microsoft-com:office:smarttags" w:element="PostalCode">
                                <w:smartTag w:uri="urn:schemas-microsoft-com:office:smarttags" w:element="State">
                                  <w:r>
                                    <w:rPr>
                                      <w:rFonts w:ascii="Calibri" w:hAnsi="Calibri"/>
                                      <w:b/>
                                      <w:sz w:val="28"/>
                                      <w:szCs w:val="28"/>
                                    </w:rPr>
                                    <w:t>DC</w:t>
                                  </w:r>
                                </w:smartTag>
                              </w:smartTag>
                              <w:r>
                                <w:rPr>
                                  <w:rFonts w:ascii="Calibri" w:hAnsi="Calibri"/>
                                  <w:b/>
                                  <w:sz w:val="28"/>
                                  <w:szCs w:val="28"/>
                                </w:rPr>
                                <w:t xml:space="preserve">  </w:t>
                              </w:r>
                              <w:smartTag w:uri="urn:schemas-microsoft-com:office:smarttags" w:element="PostalCode">
                                <w:r>
                                  <w:rPr>
                                    <w:rFonts w:ascii="Calibri" w:hAnsi="Calibri"/>
                                    <w:b/>
                                    <w:sz w:val="28"/>
                                    <w:szCs w:val="28"/>
                                  </w:rPr>
                                  <w:t>20554</w:t>
                                </w:r>
                              </w:smartTag>
                            </w:smartTag>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8" o:spid="_x0000_s1027" type="#_x0000_t202" style="width:531pt;height:28pt;margin-top:528.15pt;margin-left:-36pt;mso-height-percent:0;mso-height-relative:page;mso-width-percent:0;mso-width-relative:page;mso-wrap-distance-bottom:0;mso-wrap-distance-left:9pt;mso-wrap-distance-right:9pt;mso-wrap-distance-top:0;mso-wrap-style:square;position:absolute;visibility:visible;v-text-anchor:top;z-index:251666432" filled="f" stroked="f">
                <v:textbox>
                  <w:txbxContent>
                    <w:p w:rsidR="00B407C9" w:rsidRPr="00E6447B" w:rsidP="00E637B3" w14:paraId="360A516D" w14:textId="77777777">
                      <w:pPr>
                        <w:jc w:val="center"/>
                        <w:rPr>
                          <w:rFonts w:ascii="Calibri" w:hAnsi="Calibri"/>
                          <w:b/>
                          <w:sz w:val="28"/>
                          <w:szCs w:val="28"/>
                        </w:rPr>
                      </w:pPr>
                      <w:r>
                        <w:rPr>
                          <w:rFonts w:ascii="Calibri" w:hAnsi="Calibri"/>
                          <w:b/>
                          <w:sz w:val="28"/>
                          <w:szCs w:val="28"/>
                        </w:rPr>
                        <w:t xml:space="preserve">Federal Communications Commission </w:t>
                      </w:r>
                      <w:r>
                        <w:rPr>
                          <w:rFonts w:ascii="Wingdings 2" w:hAnsi="Wingdings 2"/>
                          <w:b/>
                          <w:sz w:val="28"/>
                          <w:szCs w:val="28"/>
                        </w:rPr>
                        <w:sym w:font="Wingdings 2" w:char="F097"/>
                      </w:r>
                      <w:r>
                        <w:rPr>
                          <w:rFonts w:ascii="Calibri" w:hAnsi="Calibri"/>
                          <w:b/>
                          <w:sz w:val="28"/>
                          <w:szCs w:val="28"/>
                        </w:rPr>
                        <w:t xml:space="preserve"> </w:t>
                      </w:r>
                      <w:smartTag w:uri="urn:schemas-microsoft-com:office:smarttags" w:element="address">
                        <w:smartTag w:uri="urn:schemas-microsoft-com:office:smarttags" w:element="Street">
                          <w:r>
                            <w:rPr>
                              <w:rFonts w:ascii="Calibri" w:hAnsi="Calibri"/>
                              <w:b/>
                              <w:sz w:val="28"/>
                              <w:szCs w:val="28"/>
                            </w:rPr>
                            <w:t>445 12th Street</w:t>
                          </w:r>
                        </w:smartTag>
                        <w:r>
                          <w:rPr>
                            <w:rFonts w:ascii="Calibri" w:hAnsi="Calibri"/>
                            <w:b/>
                            <w:sz w:val="28"/>
                            <w:szCs w:val="28"/>
                          </w:rPr>
                          <w:t xml:space="preserve">, </w:t>
                        </w:r>
                        <w:smartTag w:uri="urn:schemas-microsoft-com:office:smarttags" w:element="PostalCode">
                          <w:smartTag w:uri="urn:schemas-microsoft-com:office:smarttags" w:element="City">
                            <w:r>
                              <w:rPr>
                                <w:rFonts w:ascii="Calibri" w:hAnsi="Calibri"/>
                                <w:b/>
                                <w:sz w:val="28"/>
                                <w:szCs w:val="28"/>
                              </w:rPr>
                              <w:t xml:space="preserve">SW </w:t>
                            </w:r>
                            <w:r>
                              <w:rPr>
                                <w:rFonts w:ascii="Wingdings 2" w:hAnsi="Wingdings 2"/>
                                <w:b/>
                                <w:sz w:val="28"/>
                                <w:szCs w:val="28"/>
                              </w:rPr>
                              <w:sym w:font="Wingdings 2" w:char="F097"/>
                            </w:r>
                            <w:r>
                              <w:rPr>
                                <w:rFonts w:ascii="Calibri" w:hAnsi="Calibri"/>
                                <w:b/>
                                <w:sz w:val="28"/>
                                <w:szCs w:val="28"/>
                              </w:rPr>
                              <w:t>Washington</w:t>
                            </w:r>
                          </w:smartTag>
                        </w:smartTag>
                        <w:r>
                          <w:rPr>
                            <w:rFonts w:ascii="Calibri" w:hAnsi="Calibri"/>
                            <w:b/>
                            <w:sz w:val="28"/>
                            <w:szCs w:val="28"/>
                          </w:rPr>
                          <w:t xml:space="preserve">, </w:t>
                        </w:r>
                        <w:smartTag w:uri="urn:schemas-microsoft-com:office:smarttags" w:element="PostalCode">
                          <w:smartTag w:uri="urn:schemas-microsoft-com:office:smarttags" w:element="State">
                            <w:r>
                              <w:rPr>
                                <w:rFonts w:ascii="Calibri" w:hAnsi="Calibri"/>
                                <w:b/>
                                <w:sz w:val="28"/>
                                <w:szCs w:val="28"/>
                              </w:rPr>
                              <w:t>DC</w:t>
                            </w:r>
                          </w:smartTag>
                        </w:smartTag>
                        <w:r>
                          <w:rPr>
                            <w:rFonts w:ascii="Calibri" w:hAnsi="Calibri"/>
                            <w:b/>
                            <w:sz w:val="28"/>
                            <w:szCs w:val="28"/>
                          </w:rPr>
                          <w:t xml:space="preserve">  </w:t>
                        </w:r>
                        <w:smartTag w:uri="urn:schemas-microsoft-com:office:smarttags" w:element="PostalCode">
                          <w:r>
                            <w:rPr>
                              <w:rFonts w:ascii="Calibri" w:hAnsi="Calibri"/>
                              <w:b/>
                              <w:sz w:val="28"/>
                              <w:szCs w:val="28"/>
                            </w:rPr>
                            <w:t>20554</w:t>
                          </w:r>
                        </w:smartTag>
                      </w:smartTag>
                    </w:p>
                  </w:txbxContent>
                </v:textbox>
              </v:shape>
            </w:pict>
          </mc:Fallback>
        </mc:AlternateContent>
      </w:r>
      <w:r w:rsidRPr="00B57342">
        <w:rPr>
          <w:rFonts w:cs="Times New Roman"/>
          <w:noProof/>
          <w:szCs w:val="22"/>
          <w:lang w:eastAsia="en-US"/>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6707504</wp:posOffset>
                </wp:positionV>
                <wp:extent cx="6743700" cy="0"/>
                <wp:effectExtent l="0" t="0" r="19050" b="19050"/>
                <wp:wrapNone/>
                <wp:docPr id="42"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437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8" style="mso-height-percent:0;mso-height-relative:page;mso-width-percent:0;mso-width-relative:page;mso-wrap-distance-bottom:0;mso-wrap-distance-left:9pt;mso-wrap-distance-right:9pt;mso-wrap-distance-top:0;mso-wrap-style:square;position:absolute;visibility:visible;z-index:251668480" from="-36pt,528.15pt" to="495pt,528.15pt"/>
            </w:pict>
          </mc:Fallback>
        </mc:AlternateContent>
      </w:r>
      <w:r w:rsidRPr="00B57342">
        <w:rPr>
          <w:rFonts w:cs="Times New Roman"/>
          <w:noProof/>
          <w:szCs w:val="22"/>
          <w:lang w:eastAsia="en-US"/>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5793105</wp:posOffset>
                </wp:positionV>
                <wp:extent cx="1828800" cy="800100"/>
                <wp:effectExtent l="0" t="0" r="0" b="0"/>
                <wp:wrapNone/>
                <wp:docPr id="41"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800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407C9" w:rsidRPr="00E6447B" w:rsidP="00E637B3" w14:textId="77777777">
                            <w:pPr>
                              <w:rPr>
                                <w:rFonts w:ascii="Calibri" w:hAnsi="Calibri"/>
                                <w:b/>
                                <w:sz w:val="32"/>
                              </w:rPr>
                            </w:pPr>
                            <w:r w:rsidRPr="00E6447B">
                              <w:rPr>
                                <w:rFonts w:ascii="Calibri" w:hAnsi="Calibri"/>
                                <w:b/>
                                <w:sz w:val="32"/>
                              </w:rPr>
                              <w:t>Public Safety and Homeland Security Bureau</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0" o:spid="_x0000_s1029" type="#_x0000_t202" style="width:2in;height:63pt;margin-top:456.15pt;margin-left:36pt;mso-height-percent:0;mso-height-relative:page;mso-width-percent:0;mso-width-relative:page;mso-wrap-distance-bottom:0;mso-wrap-distance-left:9pt;mso-wrap-distance-right:9pt;mso-wrap-distance-top:0;mso-wrap-style:square;position:absolute;visibility:visible;v-text-anchor:top;z-index:251664384" filled="f" stroked="f">
                <v:textbox>
                  <w:txbxContent>
                    <w:p w:rsidR="00B407C9" w:rsidRPr="00E6447B" w:rsidP="00E637B3" w14:paraId="42AFA7CF" w14:textId="77777777">
                      <w:pPr>
                        <w:rPr>
                          <w:rFonts w:ascii="Calibri" w:hAnsi="Calibri"/>
                          <w:b/>
                          <w:sz w:val="32"/>
                        </w:rPr>
                      </w:pPr>
                      <w:r w:rsidRPr="00E6447B">
                        <w:rPr>
                          <w:rFonts w:ascii="Calibri" w:hAnsi="Calibri"/>
                          <w:b/>
                          <w:sz w:val="32"/>
                        </w:rPr>
                        <w:t>Public Safety and Homeland Security Bureau</w:t>
                      </w:r>
                    </w:p>
                  </w:txbxContent>
                </v:textbox>
              </v:shape>
            </w:pict>
          </mc:Fallback>
        </mc:AlternateContent>
      </w:r>
    </w:p>
    <w:p w:rsidR="00E637B3" w:rsidRPr="00FC68E8" w:rsidP="00E637B3" w14:paraId="1143955B" w14:textId="77777777">
      <w:pPr>
        <w:pStyle w:val="ParaNum"/>
        <w:numPr>
          <w:ilvl w:val="0"/>
          <w:numId w:val="0"/>
        </w:numPr>
        <w:jc w:val="center"/>
        <w:rPr>
          <w:rFonts w:cs="Times New Roman"/>
          <w:b/>
          <w:szCs w:val="22"/>
        </w:rPr>
      </w:pPr>
      <w:r w:rsidRPr="00B57342">
        <w:rPr>
          <w:rFonts w:cs="Times New Roman"/>
          <w:noProof/>
          <w:szCs w:val="22"/>
          <w:lang w:eastAsia="en-US"/>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1666240</wp:posOffset>
            </wp:positionV>
            <wp:extent cx="2590800" cy="1348176"/>
            <wp:effectExtent l="0" t="0" r="0" b="4445"/>
            <wp:wrapNone/>
            <wp:docPr id="4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36642" name="Picture 48"/>
                    <pic:cNvPicPr>
                      <a:picLocks noChangeAspect="1" noChangeArrowheads="1"/>
                    </pic:cNvPicPr>
                  </pic:nvPicPr>
                  <pic:blipFill>
                    <a:blip xmlns:r="http://schemas.openxmlformats.org/officeDocument/2006/relationships" r:embed="rId5">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590800" cy="1348176"/>
                    </a:xfrm>
                    <a:prstGeom prst="rect">
                      <a:avLst/>
                    </a:prstGeom>
                    <a:noFill/>
                  </pic:spPr>
                </pic:pic>
              </a:graphicData>
            </a:graphic>
            <wp14:sizeRelH relativeFrom="page">
              <wp14:pctWidth>0</wp14:pctWidth>
            </wp14:sizeRelH>
            <wp14:sizeRelV relativeFrom="page">
              <wp14:pctHeight>0</wp14:pctHeight>
            </wp14:sizeRelV>
          </wp:anchor>
        </w:drawing>
      </w:r>
      <w:r w:rsidRPr="00FC68E8" w:rsidR="00033051">
        <w:rPr>
          <w:rFonts w:cs="Times New Roman"/>
          <w:noProof/>
          <w:szCs w:val="22"/>
          <w:lang w:eastAsia="en-US"/>
        </w:rPr>
        <mc:AlternateContent>
          <mc:Choice Requires="wpg">
            <w:drawing>
              <wp:anchor distT="0" distB="0" distL="114300" distR="114300" simplePos="0" relativeHeight="251669504" behindDoc="0" locked="0" layoutInCell="1" allowOverlap="1">
                <wp:simplePos x="0" y="0"/>
                <wp:positionH relativeFrom="column">
                  <wp:posOffset>-435571</wp:posOffset>
                </wp:positionH>
                <wp:positionV relativeFrom="paragraph">
                  <wp:posOffset>5459769</wp:posOffset>
                </wp:positionV>
                <wp:extent cx="852170" cy="831844"/>
                <wp:effectExtent l="0" t="0" r="24130" b="26035"/>
                <wp:wrapNone/>
                <wp:docPr id="4"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852170" cy="831844"/>
                          <a:chOff x="11558" y="10856"/>
                          <a:chExt cx="117" cy="112"/>
                        </a:xfrm>
                      </wpg:grpSpPr>
                      <wpg:grpSp>
                        <wpg:cNvPr id="5" name="Group 12"/>
                        <wpg:cNvGrpSpPr/>
                        <wpg:grpSpPr>
                          <a:xfrm>
                            <a:off x="11558" y="10856"/>
                            <a:ext cx="117" cy="112"/>
                            <a:chOff x="11543" y="10631"/>
                            <a:chExt cx="117" cy="111"/>
                          </a:xfrm>
                        </wpg:grpSpPr>
                        <wpg:grpSp>
                          <wpg:cNvPr id="6" name="Group 13"/>
                          <wpg:cNvGrpSpPr/>
                          <wpg:grpSpPr>
                            <a:xfrm>
                              <a:off x="11543" y="10631"/>
                              <a:ext cx="117" cy="111"/>
                              <a:chOff x="10124" y="10773"/>
                              <a:chExt cx="392" cy="386"/>
                            </a:xfrm>
                          </wpg:grpSpPr>
                          <wpg:grpSp>
                            <wpg:cNvPr id="7" name="Group 14"/>
                            <wpg:cNvGrpSpPr/>
                            <wpg:grpSpPr>
                              <a:xfrm>
                                <a:off x="10124" y="10773"/>
                                <a:ext cx="393" cy="386"/>
                                <a:chOff x="10124" y="10773"/>
                                <a:chExt cx="395" cy="379"/>
                              </a:xfrm>
                            </wpg:grpSpPr>
                            <wps:wsp xmlns:wps="http://schemas.microsoft.com/office/word/2010/wordprocessingShape">
                              <wps:cNvPr id="8" name="Oval 15"/>
                              <wps:cNvSpPr>
                                <a:spLocks noChangeArrowheads="1"/>
                              </wps:cNvSpPr>
                              <wps:spPr bwMode="auto">
                                <a:xfrm>
                                  <a:off x="10124" y="10773"/>
                                  <a:ext cx="395" cy="379"/>
                                </a:xfrm>
                                <a:prstGeom prst="ellipse">
                                  <a:avLst/>
                                </a:prstGeom>
                                <a:solidFill>
                                  <a:srgbClr val="000000"/>
                                </a:solidFill>
                                <a:ln w="1270" algn="in">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36576" tIns="36576" rIns="36576" bIns="36576" anchor="t" anchorCtr="0" upright="1"/>
                            </wps:wsp>
                            <wps:wsp xmlns:wps="http://schemas.microsoft.com/office/word/2010/wordprocessingShape">
                              <wps:cNvPr id="9" name="Oval 16"/>
                              <wps:cNvSpPr>
                                <a:spLocks noChangeArrowheads="1"/>
                              </wps:cNvSpPr>
                              <wps:spPr bwMode="auto">
                                <a:xfrm>
                                  <a:off x="10134" y="10784"/>
                                  <a:ext cx="375" cy="358"/>
                                </a:xfrm>
                                <a:prstGeom prst="ellipse">
                                  <a:avLst/>
                                </a:prstGeom>
                                <a:solidFill>
                                  <a:srgbClr val="003366"/>
                                </a:solidFill>
                                <a:ln w="1270" algn="in">
                                  <a:solidFill>
                                    <a:srgbClr val="003366"/>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36576" tIns="36576" rIns="36576" bIns="36576" anchor="t" anchorCtr="0" upright="1"/>
                            </wps:wsp>
                          </wpg:grpSp>
                          <wps:wsp xmlns:wps="http://schemas.microsoft.com/office/word/2010/wordprocessingShape">
                            <wps:cNvPr id="10" name="Oval 17"/>
                            <wps:cNvSpPr>
                              <a:spLocks noChangeArrowheads="1"/>
                            </wps:cNvSpPr>
                            <wps:spPr bwMode="auto">
                              <a:xfrm>
                                <a:off x="10175" y="10826"/>
                                <a:ext cx="289" cy="281"/>
                              </a:xfrm>
                              <a:prstGeom prst="ellipse">
                                <a:avLst/>
                              </a:prstGeom>
                              <a:solidFill>
                                <a:srgbClr val="000000"/>
                              </a:solidFill>
                              <a:ln w="1270" algn="in">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36576" tIns="36576" rIns="36576" bIns="36576" anchor="t" anchorCtr="0" upright="1"/>
                          </wps:wsp>
                          <wps:wsp xmlns:wps="http://schemas.microsoft.com/office/word/2010/wordprocessingShape">
                            <wps:cNvPr id="11" name="Oval 18"/>
                            <wps:cNvSpPr>
                              <a:spLocks noChangeArrowheads="1"/>
                            </wps:cNvSpPr>
                            <wps:spPr bwMode="auto">
                              <a:xfrm>
                                <a:off x="10186" y="10839"/>
                                <a:ext cx="267" cy="256"/>
                              </a:xfrm>
                              <a:prstGeom prst="ellipse">
                                <a:avLst/>
                              </a:prstGeom>
                              <a:solidFill>
                                <a:srgbClr val="FFFFFF"/>
                              </a:solidFill>
                              <a:ln w="1270" algn="in">
                                <a:solidFill>
                                  <a:srgbClr val="FFFFFF"/>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36576" tIns="36576" rIns="36576" bIns="36576" anchor="t" anchorCtr="0" upright="1"/>
                          </wps:wsp>
                        </wpg:grpSp>
                        <wpg:grpSp>
                          <wpg:cNvPr id="12" name="Group 19"/>
                          <wpg:cNvGrpSpPr/>
                          <wpg:grpSpPr>
                            <a:xfrm rot="4021068">
                              <a:off x="11581" y="10679"/>
                              <a:ext cx="42" cy="77"/>
                              <a:chOff x="10197" y="11119"/>
                              <a:chExt cx="145" cy="259"/>
                            </a:xfrm>
                          </wpg:grpSpPr>
                          <wps:wsp xmlns:wps="http://schemas.microsoft.com/office/word/2010/wordprocessingShape">
                            <wps:cNvPr id="13" name="AutoShape 20"/>
                            <wps:cNvSpPr>
                              <a:spLocks noChangeArrowheads="1"/>
                            </wps:cNvSpPr>
                            <wps:spPr bwMode="auto">
                              <a:xfrm rot="13261403" flipH="1">
                                <a:off x="10239" y="11333"/>
                                <a:ext cx="29" cy="27"/>
                              </a:xfrm>
                              <a:custGeom>
                                <a:avLst/>
                                <a:gdLst>
                                  <a:gd name="T0" fmla="*/ 0 w 10000"/>
                                  <a:gd name="T1" fmla="*/ 10 h 10000"/>
                                  <a:gd name="T2" fmla="*/ 11 w 10000"/>
                                  <a:gd name="T3" fmla="*/ 10 h 10000"/>
                                  <a:gd name="T4" fmla="*/ 15 w 10000"/>
                                  <a:gd name="T5" fmla="*/ 0 h 10000"/>
                                  <a:gd name="T6" fmla="*/ 18 w 10000"/>
                                  <a:gd name="T7" fmla="*/ 10 h 10000"/>
                                  <a:gd name="T8" fmla="*/ 29 w 10000"/>
                                  <a:gd name="T9" fmla="*/ 10 h 10000"/>
                                  <a:gd name="T10" fmla="*/ 20 w 10000"/>
                                  <a:gd name="T11" fmla="*/ 17 h 10000"/>
                                  <a:gd name="T12" fmla="*/ 23 w 10000"/>
                                  <a:gd name="T13" fmla="*/ 27 h 10000"/>
                                  <a:gd name="T14" fmla="*/ 15 w 10000"/>
                                  <a:gd name="T15" fmla="*/ 21 h 10000"/>
                                  <a:gd name="T16" fmla="*/ 6 w 10000"/>
                                  <a:gd name="T17" fmla="*/ 27 h 10000"/>
                                  <a:gd name="T18" fmla="*/ 9 w 10000"/>
                                  <a:gd name="T19" fmla="*/ 17 h 10000"/>
                                  <a:gd name="T20" fmla="*/ 0 w 10000"/>
                                  <a:gd name="T21" fmla="*/ 10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10000" w="10000" stroke="1">
                                    <a:moveTo>
                                      <a:pt x="0" y="3704"/>
                                    </a:moveTo>
                                    <a:lnTo>
                                      <a:pt x="3793" y="3704"/>
                                    </a:lnTo>
                                    <a:lnTo>
                                      <a:pt x="5172" y="0"/>
                                    </a:lnTo>
                                    <a:lnTo>
                                      <a:pt x="6207" y="3704"/>
                                    </a:lnTo>
                                    <a:lnTo>
                                      <a:pt x="10000" y="3704"/>
                                    </a:lnTo>
                                    <a:lnTo>
                                      <a:pt x="6897" y="6296"/>
                                    </a:lnTo>
                                    <a:lnTo>
                                      <a:pt x="7931" y="10000"/>
                                    </a:lnTo>
                                    <a:lnTo>
                                      <a:pt x="5172" y="7778"/>
                                    </a:lnTo>
                                    <a:lnTo>
                                      <a:pt x="2069" y="10000"/>
                                    </a:lnTo>
                                    <a:lnTo>
                                      <a:pt x="3103" y="6296"/>
                                    </a:lnTo>
                                    <a:lnTo>
                                      <a:pt x="0" y="3704"/>
                                    </a:lnTo>
                                    <a:close/>
                                  </a:path>
                                </a:pathLst>
                              </a:custGeom>
                              <a:solidFill>
                                <a:srgbClr val="FFCC00"/>
                              </a:solidFill>
                              <a:ln w="1270" algn="in">
                                <a:solidFill>
                                  <a:srgbClr val="000000"/>
                                </a:solidFill>
                                <a:miter lim="800000"/>
                                <a:headEnd/>
                                <a:tailEnd/>
                              </a:ln>
                              <a:effectLst>
                                <a:outerShdw blurRad="0" dist="17961" dir="2700000" sx="100000" sy="100000" kx="0" ky="0" algn="ctr" rotWithShape="0">
                                  <a:srgbClr val="000000"/>
                                </a:outerShdw>
                              </a:effectLst>
                            </wps:spPr>
                            <wps:bodyPr rot="0" vert="horz" wrap="square" anchor="t" anchorCtr="0" upright="1"/>
                          </wps:wsp>
                          <wps:wsp xmlns:wps="http://schemas.microsoft.com/office/word/2010/wordprocessingShape">
                            <wps:cNvPr id="14" name="AutoShape 21"/>
                            <wps:cNvSpPr>
                              <a:spLocks noChangeArrowheads="1"/>
                            </wps:cNvSpPr>
                            <wps:spPr bwMode="auto">
                              <a:xfrm rot="13261403" flipH="1">
                                <a:off x="10275" y="11300"/>
                                <a:ext cx="28" cy="27"/>
                              </a:xfrm>
                              <a:custGeom>
                                <a:avLst/>
                                <a:gdLst>
                                  <a:gd name="T0" fmla="*/ 0 w 10000"/>
                                  <a:gd name="T1" fmla="*/ 10 h 10000"/>
                                  <a:gd name="T2" fmla="*/ 11 w 10000"/>
                                  <a:gd name="T3" fmla="*/ 10 h 10000"/>
                                  <a:gd name="T4" fmla="*/ 14 w 10000"/>
                                  <a:gd name="T5" fmla="*/ 0 h 10000"/>
                                  <a:gd name="T6" fmla="*/ 17 w 10000"/>
                                  <a:gd name="T7" fmla="*/ 10 h 10000"/>
                                  <a:gd name="T8" fmla="*/ 28 w 10000"/>
                                  <a:gd name="T9" fmla="*/ 10 h 10000"/>
                                  <a:gd name="T10" fmla="*/ 19 w 10000"/>
                                  <a:gd name="T11" fmla="*/ 17 h 10000"/>
                                  <a:gd name="T12" fmla="*/ 23 w 10000"/>
                                  <a:gd name="T13" fmla="*/ 27 h 10000"/>
                                  <a:gd name="T14" fmla="*/ 14 w 10000"/>
                                  <a:gd name="T15" fmla="*/ 21 h 10000"/>
                                  <a:gd name="T16" fmla="*/ 5 w 10000"/>
                                  <a:gd name="T17" fmla="*/ 27 h 10000"/>
                                  <a:gd name="T18" fmla="*/ 9 w 10000"/>
                                  <a:gd name="T19" fmla="*/ 17 h 10000"/>
                                  <a:gd name="T20" fmla="*/ 0 w 10000"/>
                                  <a:gd name="T21" fmla="*/ 10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10000" w="10000" stroke="1">
                                    <a:moveTo>
                                      <a:pt x="0" y="3704"/>
                                    </a:moveTo>
                                    <a:lnTo>
                                      <a:pt x="3929" y="3704"/>
                                    </a:lnTo>
                                    <a:lnTo>
                                      <a:pt x="5000" y="0"/>
                                    </a:lnTo>
                                    <a:lnTo>
                                      <a:pt x="6071" y="3704"/>
                                    </a:lnTo>
                                    <a:lnTo>
                                      <a:pt x="10000" y="3704"/>
                                    </a:lnTo>
                                    <a:lnTo>
                                      <a:pt x="6786" y="6296"/>
                                    </a:lnTo>
                                    <a:lnTo>
                                      <a:pt x="8214" y="10000"/>
                                    </a:lnTo>
                                    <a:lnTo>
                                      <a:pt x="5000" y="7778"/>
                                    </a:lnTo>
                                    <a:lnTo>
                                      <a:pt x="1786" y="10000"/>
                                    </a:lnTo>
                                    <a:lnTo>
                                      <a:pt x="3214" y="6296"/>
                                    </a:lnTo>
                                    <a:lnTo>
                                      <a:pt x="0" y="3704"/>
                                    </a:lnTo>
                                    <a:close/>
                                  </a:path>
                                </a:pathLst>
                              </a:custGeom>
                              <a:solidFill>
                                <a:srgbClr val="FFCC00"/>
                              </a:solidFill>
                              <a:ln w="1270" algn="in">
                                <a:solidFill>
                                  <a:srgbClr val="000000"/>
                                </a:solidFill>
                                <a:miter lim="800000"/>
                                <a:headEnd/>
                                <a:tailEnd/>
                              </a:ln>
                              <a:effectLst>
                                <a:outerShdw blurRad="0" dist="17961" dir="2700000" sx="100000" sy="100000" kx="0" ky="0" algn="ctr" rotWithShape="0">
                                  <a:srgbClr val="000000"/>
                                </a:outerShdw>
                              </a:effectLst>
                            </wps:spPr>
                            <wps:bodyPr rot="0" vert="horz" wrap="square" anchor="t" anchorCtr="0" upright="1"/>
                          </wps:wsp>
                          <wps:wsp xmlns:wps="http://schemas.microsoft.com/office/word/2010/wordprocessingShape">
                            <wps:cNvPr id="15" name="AutoShape 22"/>
                            <wps:cNvSpPr>
                              <a:spLocks noChangeArrowheads="1"/>
                            </wps:cNvSpPr>
                            <wps:spPr bwMode="auto">
                              <a:xfrm rot="13261403" flipH="1">
                                <a:off x="10304" y="11258"/>
                                <a:ext cx="28" cy="28"/>
                              </a:xfrm>
                              <a:custGeom>
                                <a:avLst/>
                                <a:gdLst>
                                  <a:gd name="T0" fmla="*/ 0 w 10000"/>
                                  <a:gd name="T1" fmla="*/ 11 h 10000"/>
                                  <a:gd name="T2" fmla="*/ 11 w 10000"/>
                                  <a:gd name="T3" fmla="*/ 11 h 10000"/>
                                  <a:gd name="T4" fmla="*/ 14 w 10000"/>
                                  <a:gd name="T5" fmla="*/ 0 h 10000"/>
                                  <a:gd name="T6" fmla="*/ 17 w 10000"/>
                                  <a:gd name="T7" fmla="*/ 11 h 10000"/>
                                  <a:gd name="T8" fmla="*/ 28 w 10000"/>
                                  <a:gd name="T9" fmla="*/ 11 h 10000"/>
                                  <a:gd name="T10" fmla="*/ 19 w 10000"/>
                                  <a:gd name="T11" fmla="*/ 17 h 10000"/>
                                  <a:gd name="T12" fmla="*/ 23 w 10000"/>
                                  <a:gd name="T13" fmla="*/ 28 h 10000"/>
                                  <a:gd name="T14" fmla="*/ 14 w 10000"/>
                                  <a:gd name="T15" fmla="*/ 21 h 10000"/>
                                  <a:gd name="T16" fmla="*/ 5 w 10000"/>
                                  <a:gd name="T17" fmla="*/ 28 h 10000"/>
                                  <a:gd name="T18" fmla="*/ 9 w 10000"/>
                                  <a:gd name="T19" fmla="*/ 17 h 10000"/>
                                  <a:gd name="T20" fmla="*/ 0 w 10000"/>
                                  <a:gd name="T21" fmla="*/ 11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10000" w="10000" stroke="1">
                                    <a:moveTo>
                                      <a:pt x="0" y="3929"/>
                                    </a:moveTo>
                                    <a:lnTo>
                                      <a:pt x="3929" y="3929"/>
                                    </a:lnTo>
                                    <a:lnTo>
                                      <a:pt x="5000" y="0"/>
                                    </a:lnTo>
                                    <a:lnTo>
                                      <a:pt x="6071" y="3929"/>
                                    </a:lnTo>
                                    <a:lnTo>
                                      <a:pt x="10000" y="3929"/>
                                    </a:lnTo>
                                    <a:lnTo>
                                      <a:pt x="6786" y="6071"/>
                                    </a:lnTo>
                                    <a:lnTo>
                                      <a:pt x="8214" y="10000"/>
                                    </a:lnTo>
                                    <a:lnTo>
                                      <a:pt x="5000" y="7500"/>
                                    </a:lnTo>
                                    <a:lnTo>
                                      <a:pt x="1786" y="10000"/>
                                    </a:lnTo>
                                    <a:lnTo>
                                      <a:pt x="3214" y="6071"/>
                                    </a:lnTo>
                                    <a:lnTo>
                                      <a:pt x="0" y="3929"/>
                                    </a:lnTo>
                                    <a:close/>
                                  </a:path>
                                </a:pathLst>
                              </a:custGeom>
                              <a:solidFill>
                                <a:srgbClr val="FFCC00"/>
                              </a:solidFill>
                              <a:ln w="1270" algn="in">
                                <a:solidFill>
                                  <a:srgbClr val="000000"/>
                                </a:solidFill>
                                <a:miter lim="800000"/>
                                <a:headEnd/>
                                <a:tailEnd/>
                              </a:ln>
                              <a:effectLst>
                                <a:outerShdw blurRad="0" dist="17961" dir="2700000" sx="100000" sy="100000" kx="0" ky="0" algn="ctr" rotWithShape="0">
                                  <a:srgbClr val="000000"/>
                                </a:outerShdw>
                              </a:effectLst>
                            </wps:spPr>
                            <wps:bodyPr rot="0" vert="horz" wrap="square" anchor="t" anchorCtr="0" upright="1"/>
                          </wps:wsp>
                          <wps:wsp xmlns:wps="http://schemas.microsoft.com/office/word/2010/wordprocessingShape">
                            <wps:cNvPr id="16" name="AutoShape 23"/>
                            <wps:cNvSpPr>
                              <a:spLocks noChangeArrowheads="1"/>
                            </wps:cNvSpPr>
                            <wps:spPr bwMode="auto">
                              <a:xfrm rot="13261403" flipH="1">
                                <a:off x="10314" y="11210"/>
                                <a:ext cx="29" cy="27"/>
                              </a:xfrm>
                              <a:custGeom>
                                <a:avLst/>
                                <a:gdLst>
                                  <a:gd name="T0" fmla="*/ 0 w 10000"/>
                                  <a:gd name="T1" fmla="*/ 10 h 10000"/>
                                  <a:gd name="T2" fmla="*/ 11 w 10000"/>
                                  <a:gd name="T3" fmla="*/ 10 h 10000"/>
                                  <a:gd name="T4" fmla="*/ 15 w 10000"/>
                                  <a:gd name="T5" fmla="*/ 0 h 10000"/>
                                  <a:gd name="T6" fmla="*/ 18 w 10000"/>
                                  <a:gd name="T7" fmla="*/ 10 h 10000"/>
                                  <a:gd name="T8" fmla="*/ 29 w 10000"/>
                                  <a:gd name="T9" fmla="*/ 10 h 10000"/>
                                  <a:gd name="T10" fmla="*/ 20 w 10000"/>
                                  <a:gd name="T11" fmla="*/ 17 h 10000"/>
                                  <a:gd name="T12" fmla="*/ 23 w 10000"/>
                                  <a:gd name="T13" fmla="*/ 27 h 10000"/>
                                  <a:gd name="T14" fmla="*/ 15 w 10000"/>
                                  <a:gd name="T15" fmla="*/ 21 h 10000"/>
                                  <a:gd name="T16" fmla="*/ 6 w 10000"/>
                                  <a:gd name="T17" fmla="*/ 27 h 10000"/>
                                  <a:gd name="T18" fmla="*/ 9 w 10000"/>
                                  <a:gd name="T19" fmla="*/ 17 h 10000"/>
                                  <a:gd name="T20" fmla="*/ 0 w 10000"/>
                                  <a:gd name="T21" fmla="*/ 10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10000" w="10000" stroke="1">
                                    <a:moveTo>
                                      <a:pt x="0" y="3704"/>
                                    </a:moveTo>
                                    <a:lnTo>
                                      <a:pt x="3793" y="3704"/>
                                    </a:lnTo>
                                    <a:lnTo>
                                      <a:pt x="5172" y="0"/>
                                    </a:lnTo>
                                    <a:lnTo>
                                      <a:pt x="6207" y="3704"/>
                                    </a:lnTo>
                                    <a:lnTo>
                                      <a:pt x="10000" y="3704"/>
                                    </a:lnTo>
                                    <a:lnTo>
                                      <a:pt x="6897" y="6296"/>
                                    </a:lnTo>
                                    <a:lnTo>
                                      <a:pt x="7931" y="10000"/>
                                    </a:lnTo>
                                    <a:lnTo>
                                      <a:pt x="5172" y="7778"/>
                                    </a:lnTo>
                                    <a:lnTo>
                                      <a:pt x="2069" y="10000"/>
                                    </a:lnTo>
                                    <a:lnTo>
                                      <a:pt x="3103" y="6296"/>
                                    </a:lnTo>
                                    <a:lnTo>
                                      <a:pt x="0" y="3704"/>
                                    </a:lnTo>
                                    <a:close/>
                                  </a:path>
                                </a:pathLst>
                              </a:custGeom>
                              <a:solidFill>
                                <a:srgbClr val="FFCC00"/>
                              </a:solidFill>
                              <a:ln w="1270" algn="in">
                                <a:solidFill>
                                  <a:srgbClr val="000000"/>
                                </a:solidFill>
                                <a:miter lim="800000"/>
                                <a:headEnd/>
                                <a:tailEnd/>
                              </a:ln>
                              <a:effectLst>
                                <a:outerShdw blurRad="0" dist="17961" dir="2700000" sx="100000" sy="100000" kx="0" ky="0" algn="ctr" rotWithShape="0">
                                  <a:srgbClr val="000000"/>
                                </a:outerShdw>
                              </a:effectLst>
                            </wps:spPr>
                            <wps:bodyPr rot="0" vert="horz" wrap="square" anchor="t" anchorCtr="0" upright="1"/>
                          </wps:wsp>
                          <wps:wsp xmlns:wps="http://schemas.microsoft.com/office/word/2010/wordprocessingShape">
                            <wps:cNvPr id="17" name="AutoShape 24"/>
                            <wps:cNvSpPr>
                              <a:spLocks noChangeArrowheads="1"/>
                            </wps:cNvSpPr>
                            <wps:spPr bwMode="auto">
                              <a:xfrm rot="13261403" flipH="1">
                                <a:off x="10310" y="11164"/>
                                <a:ext cx="28" cy="27"/>
                              </a:xfrm>
                              <a:custGeom>
                                <a:avLst/>
                                <a:gdLst>
                                  <a:gd name="T0" fmla="*/ 0 w 10000"/>
                                  <a:gd name="T1" fmla="*/ 10 h 10000"/>
                                  <a:gd name="T2" fmla="*/ 11 w 10000"/>
                                  <a:gd name="T3" fmla="*/ 10 h 10000"/>
                                  <a:gd name="T4" fmla="*/ 14 w 10000"/>
                                  <a:gd name="T5" fmla="*/ 0 h 10000"/>
                                  <a:gd name="T6" fmla="*/ 17 w 10000"/>
                                  <a:gd name="T7" fmla="*/ 10 h 10000"/>
                                  <a:gd name="T8" fmla="*/ 28 w 10000"/>
                                  <a:gd name="T9" fmla="*/ 10 h 10000"/>
                                  <a:gd name="T10" fmla="*/ 19 w 10000"/>
                                  <a:gd name="T11" fmla="*/ 17 h 10000"/>
                                  <a:gd name="T12" fmla="*/ 23 w 10000"/>
                                  <a:gd name="T13" fmla="*/ 27 h 10000"/>
                                  <a:gd name="T14" fmla="*/ 14 w 10000"/>
                                  <a:gd name="T15" fmla="*/ 21 h 10000"/>
                                  <a:gd name="T16" fmla="*/ 5 w 10000"/>
                                  <a:gd name="T17" fmla="*/ 27 h 10000"/>
                                  <a:gd name="T18" fmla="*/ 9 w 10000"/>
                                  <a:gd name="T19" fmla="*/ 17 h 10000"/>
                                  <a:gd name="T20" fmla="*/ 0 w 10000"/>
                                  <a:gd name="T21" fmla="*/ 10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10000" w="10000" stroke="1">
                                    <a:moveTo>
                                      <a:pt x="0" y="3704"/>
                                    </a:moveTo>
                                    <a:lnTo>
                                      <a:pt x="3929" y="3704"/>
                                    </a:lnTo>
                                    <a:lnTo>
                                      <a:pt x="5000" y="0"/>
                                    </a:lnTo>
                                    <a:lnTo>
                                      <a:pt x="6071" y="3704"/>
                                    </a:lnTo>
                                    <a:lnTo>
                                      <a:pt x="10000" y="3704"/>
                                    </a:lnTo>
                                    <a:lnTo>
                                      <a:pt x="6786" y="6296"/>
                                    </a:lnTo>
                                    <a:lnTo>
                                      <a:pt x="8214" y="10000"/>
                                    </a:lnTo>
                                    <a:lnTo>
                                      <a:pt x="5000" y="7778"/>
                                    </a:lnTo>
                                    <a:lnTo>
                                      <a:pt x="1786" y="10000"/>
                                    </a:lnTo>
                                    <a:lnTo>
                                      <a:pt x="3214" y="6296"/>
                                    </a:lnTo>
                                    <a:lnTo>
                                      <a:pt x="0" y="3704"/>
                                    </a:lnTo>
                                    <a:close/>
                                  </a:path>
                                </a:pathLst>
                              </a:custGeom>
                              <a:solidFill>
                                <a:srgbClr val="FFCC00"/>
                              </a:solidFill>
                              <a:ln w="1270" algn="in">
                                <a:solidFill>
                                  <a:srgbClr val="000000"/>
                                </a:solidFill>
                                <a:miter lim="800000"/>
                                <a:headEnd/>
                                <a:tailEnd/>
                              </a:ln>
                              <a:effectLst>
                                <a:outerShdw blurRad="0" dist="17961" dir="2700000" sx="100000" sy="100000" kx="0" ky="0" algn="ctr" rotWithShape="0">
                                  <a:srgbClr val="000000"/>
                                </a:outerShdw>
                              </a:effectLst>
                            </wps:spPr>
                            <wps:bodyPr rot="0" vert="horz" wrap="square" anchor="t" anchorCtr="0" upright="1"/>
                          </wps:wsp>
                          <wps:wsp xmlns:wps="http://schemas.microsoft.com/office/word/2010/wordprocessingShape">
                            <wps:cNvPr id="18" name="AutoShape 25"/>
                            <wps:cNvSpPr>
                              <a:spLocks noChangeArrowheads="1"/>
                            </wps:cNvSpPr>
                            <wps:spPr bwMode="auto">
                              <a:xfrm rot="13261403" flipH="1">
                                <a:off x="10296" y="11119"/>
                                <a:ext cx="28" cy="28"/>
                              </a:xfrm>
                              <a:custGeom>
                                <a:avLst/>
                                <a:gdLst>
                                  <a:gd name="T0" fmla="*/ 0 w 10000"/>
                                  <a:gd name="T1" fmla="*/ 11 h 10000"/>
                                  <a:gd name="T2" fmla="*/ 11 w 10000"/>
                                  <a:gd name="T3" fmla="*/ 11 h 10000"/>
                                  <a:gd name="T4" fmla="*/ 14 w 10000"/>
                                  <a:gd name="T5" fmla="*/ 0 h 10000"/>
                                  <a:gd name="T6" fmla="*/ 17 w 10000"/>
                                  <a:gd name="T7" fmla="*/ 11 h 10000"/>
                                  <a:gd name="T8" fmla="*/ 28 w 10000"/>
                                  <a:gd name="T9" fmla="*/ 11 h 10000"/>
                                  <a:gd name="T10" fmla="*/ 19 w 10000"/>
                                  <a:gd name="T11" fmla="*/ 17 h 10000"/>
                                  <a:gd name="T12" fmla="*/ 23 w 10000"/>
                                  <a:gd name="T13" fmla="*/ 28 h 10000"/>
                                  <a:gd name="T14" fmla="*/ 14 w 10000"/>
                                  <a:gd name="T15" fmla="*/ 21 h 10000"/>
                                  <a:gd name="T16" fmla="*/ 5 w 10000"/>
                                  <a:gd name="T17" fmla="*/ 28 h 10000"/>
                                  <a:gd name="T18" fmla="*/ 9 w 10000"/>
                                  <a:gd name="T19" fmla="*/ 17 h 10000"/>
                                  <a:gd name="T20" fmla="*/ 0 w 10000"/>
                                  <a:gd name="T21" fmla="*/ 11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10000" w="10000" stroke="1">
                                    <a:moveTo>
                                      <a:pt x="0" y="3929"/>
                                    </a:moveTo>
                                    <a:lnTo>
                                      <a:pt x="3929" y="3929"/>
                                    </a:lnTo>
                                    <a:lnTo>
                                      <a:pt x="5000" y="0"/>
                                    </a:lnTo>
                                    <a:lnTo>
                                      <a:pt x="6071" y="3929"/>
                                    </a:lnTo>
                                    <a:lnTo>
                                      <a:pt x="10000" y="3929"/>
                                    </a:lnTo>
                                    <a:lnTo>
                                      <a:pt x="6786" y="6071"/>
                                    </a:lnTo>
                                    <a:lnTo>
                                      <a:pt x="8214" y="10000"/>
                                    </a:lnTo>
                                    <a:lnTo>
                                      <a:pt x="5000" y="7500"/>
                                    </a:lnTo>
                                    <a:lnTo>
                                      <a:pt x="1786" y="10000"/>
                                    </a:lnTo>
                                    <a:lnTo>
                                      <a:pt x="3214" y="6071"/>
                                    </a:lnTo>
                                    <a:lnTo>
                                      <a:pt x="0" y="3929"/>
                                    </a:lnTo>
                                    <a:close/>
                                  </a:path>
                                </a:pathLst>
                              </a:custGeom>
                              <a:solidFill>
                                <a:srgbClr val="FFCC00"/>
                              </a:solidFill>
                              <a:ln w="1270" algn="in">
                                <a:solidFill>
                                  <a:srgbClr val="000000"/>
                                </a:solidFill>
                                <a:miter lim="800000"/>
                                <a:headEnd/>
                                <a:tailEnd/>
                              </a:ln>
                              <a:effectLst>
                                <a:outerShdw blurRad="0" dist="17961" dir="2700000" sx="100000" sy="100000" kx="0" ky="0" algn="ctr" rotWithShape="0">
                                  <a:srgbClr val="000000"/>
                                </a:outerShdw>
                              </a:effectLst>
                            </wps:spPr>
                            <wps:bodyPr rot="0" vert="horz" wrap="square" anchor="t" anchorCtr="0" upright="1"/>
                          </wps:wsp>
                          <wps:wsp xmlns:wps="http://schemas.microsoft.com/office/word/2010/wordprocessingShape">
                            <wps:cNvPr id="19" name="AutoShape 26"/>
                            <wps:cNvSpPr>
                              <a:spLocks noChangeArrowheads="1"/>
                            </wps:cNvSpPr>
                            <wps:spPr bwMode="auto">
                              <a:xfrm rot="13261403" flipH="1">
                                <a:off x="10197" y="11351"/>
                                <a:ext cx="28" cy="28"/>
                              </a:xfrm>
                              <a:custGeom>
                                <a:avLst/>
                                <a:gdLst>
                                  <a:gd name="T0" fmla="*/ 0 w 10000"/>
                                  <a:gd name="T1" fmla="*/ 11 h 10000"/>
                                  <a:gd name="T2" fmla="*/ 11 w 10000"/>
                                  <a:gd name="T3" fmla="*/ 11 h 10000"/>
                                  <a:gd name="T4" fmla="*/ 14 w 10000"/>
                                  <a:gd name="T5" fmla="*/ 0 h 10000"/>
                                  <a:gd name="T6" fmla="*/ 17 w 10000"/>
                                  <a:gd name="T7" fmla="*/ 11 h 10000"/>
                                  <a:gd name="T8" fmla="*/ 28 w 10000"/>
                                  <a:gd name="T9" fmla="*/ 11 h 10000"/>
                                  <a:gd name="T10" fmla="*/ 19 w 10000"/>
                                  <a:gd name="T11" fmla="*/ 17 h 10000"/>
                                  <a:gd name="T12" fmla="*/ 23 w 10000"/>
                                  <a:gd name="T13" fmla="*/ 28 h 10000"/>
                                  <a:gd name="T14" fmla="*/ 14 w 10000"/>
                                  <a:gd name="T15" fmla="*/ 21 h 10000"/>
                                  <a:gd name="T16" fmla="*/ 5 w 10000"/>
                                  <a:gd name="T17" fmla="*/ 28 h 10000"/>
                                  <a:gd name="T18" fmla="*/ 9 w 10000"/>
                                  <a:gd name="T19" fmla="*/ 17 h 10000"/>
                                  <a:gd name="T20" fmla="*/ 0 w 10000"/>
                                  <a:gd name="T21" fmla="*/ 11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10000" w="10000" stroke="1">
                                    <a:moveTo>
                                      <a:pt x="0" y="3929"/>
                                    </a:moveTo>
                                    <a:lnTo>
                                      <a:pt x="3929" y="3929"/>
                                    </a:lnTo>
                                    <a:lnTo>
                                      <a:pt x="5000" y="0"/>
                                    </a:lnTo>
                                    <a:lnTo>
                                      <a:pt x="6071" y="3929"/>
                                    </a:lnTo>
                                    <a:lnTo>
                                      <a:pt x="10000" y="3929"/>
                                    </a:lnTo>
                                    <a:lnTo>
                                      <a:pt x="6786" y="6071"/>
                                    </a:lnTo>
                                    <a:lnTo>
                                      <a:pt x="8214" y="10000"/>
                                    </a:lnTo>
                                    <a:lnTo>
                                      <a:pt x="5000" y="7500"/>
                                    </a:lnTo>
                                    <a:lnTo>
                                      <a:pt x="1786" y="10000"/>
                                    </a:lnTo>
                                    <a:lnTo>
                                      <a:pt x="3214" y="6071"/>
                                    </a:lnTo>
                                    <a:lnTo>
                                      <a:pt x="0" y="3929"/>
                                    </a:lnTo>
                                    <a:close/>
                                  </a:path>
                                </a:pathLst>
                              </a:custGeom>
                              <a:solidFill>
                                <a:srgbClr val="FFCC00"/>
                              </a:solidFill>
                              <a:ln w="1270" algn="in">
                                <a:solidFill>
                                  <a:srgbClr val="000000"/>
                                </a:solidFill>
                                <a:miter lim="800000"/>
                                <a:headEnd/>
                                <a:tailEnd/>
                              </a:ln>
                              <a:effectLst>
                                <a:outerShdw blurRad="0" dist="17961" dir="2700000" sx="100000" sy="100000" kx="0" ky="0" algn="ctr" rotWithShape="0">
                                  <a:srgbClr val="000000"/>
                                </a:outerShdw>
                              </a:effectLst>
                            </wps:spPr>
                            <wps:bodyPr rot="0" vert="horz" wrap="square" anchor="t" anchorCtr="0" upright="1"/>
                          </wps:wsp>
                        </wpg:grpSp>
                        <wps:wsp xmlns:wps="http://schemas.microsoft.com/office/word/2010/wordprocessingShape">
                          <wps:cNvPr id="20" name="WordArt 27"/>
                          <wps:cNvSpPr txBox="1">
                            <a:spLocks noChangeArrowheads="1" noChangeShapeType="1"/>
                          </wps:cNvSpPr>
                          <wps:spPr bwMode="auto">
                            <a:xfrm>
                              <a:off x="11553" y="10640"/>
                              <a:ext cx="97" cy="3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407C9" w:rsidP="00E637B3" w14:textId="77777777">
                                <w:pPr>
                                  <w:pStyle w:val="NormalWeb"/>
                                  <w:spacing w:before="0" w:beforeAutospacing="0" w:after="0" w:afterAutospacing="0"/>
                                  <w:jc w:val="center"/>
                                </w:pPr>
                              </w:p>
                            </w:txbxContent>
                          </wps:txbx>
                          <wps:bodyPr rot="0" vert="horz" wrap="square" anchor="t" anchorCtr="0" upright="1">
                            <a:spAutoFit/>
                          </wps:bodyPr>
                        </wps:wsp>
                      </wpg:grpSp>
                      <pic:pic xmlns:pic="http://schemas.openxmlformats.org/drawingml/2006/picture">
                        <pic:nvPicPr>
                          <pic:cNvPr id="21" name="Picture 28"/>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11582" y="10898"/>
                            <a:ext cx="69" cy="35"/>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 algn="in">
                                <a:solidFill>
                                  <a:srgbClr val="FFFFFF"/>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pic:spPr>
                      </pic:pic>
                      <wpg:grpSp>
                        <wpg:cNvPr id="22" name="Group 29"/>
                        <wpg:cNvGrpSpPr/>
                        <wpg:grpSpPr>
                          <a:xfrm>
                            <a:off x="11605" y="10896"/>
                            <a:ext cx="21" cy="56"/>
                            <a:chOff x="10104" y="11303"/>
                            <a:chExt cx="64" cy="165"/>
                          </a:xfrm>
                        </wpg:grpSpPr>
                        <wps:wsp xmlns:wps="http://schemas.microsoft.com/office/word/2010/wordprocessingShape">
                          <wps:cNvPr id="23" name="Line 30"/>
                          <wps:cNvCnPr>
                            <a:cxnSpLocks noChangeShapeType="1"/>
                          </wps:cNvCnPr>
                          <wps:spPr bwMode="auto">
                            <a:xfrm flipH="1">
                              <a:off x="10104" y="11303"/>
                              <a:ext cx="36" cy="164"/>
                            </a:xfrm>
                            <a:prstGeom prst="line">
                              <a:avLst/>
                            </a:prstGeom>
                            <a:noFill/>
                            <a:ln w="19050">
                              <a:solidFill>
                                <a:srgbClr val="00000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24" name="Line 31"/>
                          <wps:cNvCnPr>
                            <a:cxnSpLocks noChangeShapeType="1"/>
                          </wps:cNvCnPr>
                          <wps:spPr bwMode="auto">
                            <a:xfrm>
                              <a:off x="10140" y="11303"/>
                              <a:ext cx="29" cy="165"/>
                            </a:xfrm>
                            <a:prstGeom prst="line">
                              <a:avLst/>
                            </a:prstGeom>
                            <a:noFill/>
                            <a:ln w="19050">
                              <a:solidFill>
                                <a:srgbClr val="00000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g:grpSp>
                      <wpg:grpSp>
                        <wpg:cNvPr id="25" name="Group 32"/>
                        <wpg:cNvGrpSpPr/>
                        <wpg:grpSpPr>
                          <a:xfrm>
                            <a:off x="11601" y="10879"/>
                            <a:ext cx="31" cy="20"/>
                            <a:chOff x="10815" y="11057"/>
                            <a:chExt cx="113" cy="70"/>
                          </a:xfrm>
                        </wpg:grpSpPr>
                        <wps:wsp xmlns:wps="http://schemas.microsoft.com/office/word/2010/wordprocessingShape">
                          <wps:cNvPr id="26" name="Oval 33"/>
                          <wps:cNvSpPr>
                            <a:spLocks noChangeArrowheads="1"/>
                          </wps:cNvSpPr>
                          <wps:spPr bwMode="auto">
                            <a:xfrm>
                              <a:off x="10857" y="11088"/>
                              <a:ext cx="28" cy="26"/>
                            </a:xfrm>
                            <a:prstGeom prst="ellipse">
                              <a:avLst/>
                            </a:prstGeom>
                            <a:noFill/>
                            <a:ln w="9525" algn="in">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36576" tIns="36576" rIns="36576" bIns="36576" anchor="t" anchorCtr="0" upright="1"/>
                        </wps:wsp>
                        <wps:wsp xmlns:wps="http://schemas.microsoft.com/office/word/2010/wordprocessingShape">
                          <wps:cNvPr id="27" name="Line 34"/>
                          <wps:cNvCnPr>
                            <a:cxnSpLocks noChangeShapeType="1"/>
                          </wps:cNvCnPr>
                          <wps:spPr bwMode="auto">
                            <a:xfrm flipV="1">
                              <a:off x="10871" y="11101"/>
                              <a:ext cx="0" cy="19"/>
                            </a:xfrm>
                            <a:prstGeom prst="line">
                              <a:avLst/>
                            </a:prstGeom>
                            <a:noFill/>
                            <a:ln w="9525">
                              <a:solidFill>
                                <a:srgbClr val="00000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28" name="Oval 35"/>
                          <wps:cNvSpPr>
                            <a:spLocks noChangeArrowheads="1"/>
                          </wps:cNvSpPr>
                          <wps:spPr bwMode="auto">
                            <a:xfrm>
                              <a:off x="10866" y="11097"/>
                              <a:ext cx="9" cy="8"/>
                            </a:xfrm>
                            <a:prstGeom prst="ellipse">
                              <a:avLst/>
                            </a:prstGeom>
                            <a:noFill/>
                            <a:ln w="19050" algn="in">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36576" tIns="36576" rIns="36576" bIns="36576" anchor="t" anchorCtr="0" upright="1"/>
                        </wps:wsp>
                        <wps:wsp xmlns:wps="http://schemas.microsoft.com/office/word/2010/wordprocessingShape">
                          <wps:cNvPr id="29" name="Oval 36"/>
                          <wps:cNvSpPr>
                            <a:spLocks noChangeArrowheads="1"/>
                          </wps:cNvSpPr>
                          <wps:spPr bwMode="auto">
                            <a:xfrm>
                              <a:off x="10862" y="11094"/>
                              <a:ext cx="16" cy="15"/>
                            </a:xfrm>
                            <a:prstGeom prst="ellipse">
                              <a:avLst/>
                            </a:prstGeom>
                            <a:noFill/>
                            <a:ln w="9525" algn="in">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36576" tIns="36576" rIns="36576" bIns="36576" anchor="t" anchorCtr="0" upright="1"/>
                        </wps:wsp>
                        <wpg:grpSp>
                          <wpg:cNvPr id="30" name="Group 37"/>
                          <wpg:cNvGrpSpPr/>
                          <wpg:grpSpPr>
                            <a:xfrm rot="15470944">
                              <a:off x="10813" y="11059"/>
                              <a:ext cx="70" cy="66"/>
                              <a:chOff x="9669" y="11159"/>
                              <a:chExt cx="70" cy="66"/>
                            </a:xfrm>
                          </wpg:grpSpPr>
                          <wps:wsp xmlns:wps="http://schemas.microsoft.com/office/word/2010/wordprocessingShape">
                            <wps:cNvPr id="31" name="Arc 38"/>
                            <wps:cNvSpPr/>
                            <wps:spPr bwMode="auto">
                              <a:xfrm rot="11576752" flipH="1">
                                <a:off x="9669" y="11184"/>
                                <a:ext cx="51" cy="33"/>
                              </a:xfrm>
                              <a:custGeom>
                                <a:avLst/>
                                <a:gdLst>
                                  <a:gd name="T0" fmla="*/ 51 w 21600"/>
                                  <a:gd name="T1" fmla="*/ 23 h 21600"/>
                                  <a:gd name="T2" fmla="*/ 0 w 21600"/>
                                  <a:gd name="T3" fmla="*/ 22 h 21600"/>
                                  <a:gd name="T4" fmla="*/ 26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1898" y="15029"/>
                                    </a:moveTo>
                                    <a:cubicBezTo>
                                      <a:pt x="27829" y="19229"/>
                                      <a:pt x="22232" y="21600"/>
                                      <a:pt x="16385" y="21600"/>
                                    </a:cubicBezTo>
                                    <a:cubicBezTo>
                                      <a:pt x="10087" y="21600"/>
                                      <a:pt x="4103" y="18851"/>
                                      <a:pt x="0" y="14074"/>
                                    </a:cubicBezTo>
                                  </a:path>
                                  <a:path fill="norm" h="21600" w="21600" stroke="0">
                                    <a:moveTo>
                                      <a:pt x="31898" y="15029"/>
                                    </a:moveTo>
                                    <a:cubicBezTo>
                                      <a:pt x="27829" y="19229"/>
                                      <a:pt x="22232" y="21600"/>
                                      <a:pt x="16385" y="21600"/>
                                    </a:cubicBezTo>
                                    <a:cubicBezTo>
                                      <a:pt x="10087" y="21600"/>
                                      <a:pt x="4103" y="18851"/>
                                      <a:pt x="0" y="14074"/>
                                    </a:cubicBezTo>
                                    <a:lnTo>
                                      <a:pt x="16385" y="0"/>
                                    </a:lnTo>
                                    <a:lnTo>
                                      <a:pt x="31898" y="15029"/>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s:wsp xmlns:wps="http://schemas.microsoft.com/office/word/2010/wordprocessingShape">
                            <wps:cNvPr id="32" name="Arc 39"/>
                            <wps:cNvSpPr/>
                            <wps:spPr bwMode="auto">
                              <a:xfrm rot="11576752" flipH="1">
                                <a:off x="9669" y="11171"/>
                                <a:ext cx="62" cy="34"/>
                              </a:xfrm>
                              <a:custGeom>
                                <a:avLst/>
                                <a:gdLst>
                                  <a:gd name="T0" fmla="*/ 62 w 21600"/>
                                  <a:gd name="T1" fmla="*/ 21 h 21600"/>
                                  <a:gd name="T2" fmla="*/ 0 w 21600"/>
                                  <a:gd name="T3" fmla="*/ 22 h 21600"/>
                                  <a:gd name="T4" fmla="*/ 30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3478" y="13204"/>
                                    </a:moveTo>
                                    <a:cubicBezTo>
                                      <a:pt x="29388" y="18499"/>
                                      <a:pt x="23075" y="21600"/>
                                      <a:pt x="16385" y="21600"/>
                                    </a:cubicBezTo>
                                    <a:cubicBezTo>
                                      <a:pt x="10087" y="21600"/>
                                      <a:pt x="4103" y="18851"/>
                                      <a:pt x="0" y="14074"/>
                                    </a:cubicBezTo>
                                  </a:path>
                                  <a:path fill="norm" h="21600" w="21600" stroke="0">
                                    <a:moveTo>
                                      <a:pt x="33478" y="13204"/>
                                    </a:moveTo>
                                    <a:cubicBezTo>
                                      <a:pt x="29388" y="18499"/>
                                      <a:pt x="23075" y="21600"/>
                                      <a:pt x="16385" y="21600"/>
                                    </a:cubicBezTo>
                                    <a:cubicBezTo>
                                      <a:pt x="10087" y="21600"/>
                                      <a:pt x="4103" y="18851"/>
                                      <a:pt x="0" y="14074"/>
                                    </a:cubicBezTo>
                                    <a:lnTo>
                                      <a:pt x="16385" y="0"/>
                                    </a:lnTo>
                                    <a:lnTo>
                                      <a:pt x="33478" y="13204"/>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s:wsp xmlns:wps="http://schemas.microsoft.com/office/word/2010/wordprocessingShape">
                            <wps:cNvPr id="33" name="Arc 40"/>
                            <wps:cNvSpPr/>
                            <wps:spPr bwMode="auto">
                              <a:xfrm rot="11576752" flipH="1">
                                <a:off x="9670" y="11159"/>
                                <a:ext cx="69" cy="36"/>
                              </a:xfrm>
                              <a:custGeom>
                                <a:avLst/>
                                <a:gdLst>
                                  <a:gd name="T0" fmla="*/ 69 w 21600"/>
                                  <a:gd name="T1" fmla="*/ 25 h 21600"/>
                                  <a:gd name="T2" fmla="*/ 0 w 21600"/>
                                  <a:gd name="T3" fmla="*/ 23 h 21600"/>
                                  <a:gd name="T4" fmla="*/ 35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1898" y="15029"/>
                                    </a:moveTo>
                                    <a:cubicBezTo>
                                      <a:pt x="27829" y="19229"/>
                                      <a:pt x="22232" y="21600"/>
                                      <a:pt x="16385" y="21600"/>
                                    </a:cubicBezTo>
                                    <a:cubicBezTo>
                                      <a:pt x="10087" y="21600"/>
                                      <a:pt x="4103" y="18851"/>
                                      <a:pt x="0" y="14074"/>
                                    </a:cubicBezTo>
                                  </a:path>
                                  <a:path fill="norm" h="21600" w="21600" stroke="0">
                                    <a:moveTo>
                                      <a:pt x="31898" y="15029"/>
                                    </a:moveTo>
                                    <a:cubicBezTo>
                                      <a:pt x="27829" y="19229"/>
                                      <a:pt x="22232" y="21600"/>
                                      <a:pt x="16385" y="21600"/>
                                    </a:cubicBezTo>
                                    <a:cubicBezTo>
                                      <a:pt x="10087" y="21600"/>
                                      <a:pt x="4103" y="18851"/>
                                      <a:pt x="0" y="14074"/>
                                    </a:cubicBezTo>
                                    <a:lnTo>
                                      <a:pt x="16385" y="0"/>
                                    </a:lnTo>
                                    <a:lnTo>
                                      <a:pt x="31898" y="15029"/>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s:wsp xmlns:wps="http://schemas.microsoft.com/office/word/2010/wordprocessingShape">
                            <wps:cNvPr id="34" name="Arc 41"/>
                            <wps:cNvSpPr/>
                            <wps:spPr bwMode="auto">
                              <a:xfrm rot="11576752" flipH="1">
                                <a:off x="9674" y="11194"/>
                                <a:ext cx="33" cy="31"/>
                              </a:xfrm>
                              <a:custGeom>
                                <a:avLst/>
                                <a:gdLst>
                                  <a:gd name="T0" fmla="*/ 33 w 21600"/>
                                  <a:gd name="T1" fmla="*/ 22 h 21600"/>
                                  <a:gd name="T2" fmla="*/ 0 w 21600"/>
                                  <a:gd name="T3" fmla="*/ 20 h 21600"/>
                                  <a:gd name="T4" fmla="*/ 17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1898" y="15029"/>
                                    </a:moveTo>
                                    <a:cubicBezTo>
                                      <a:pt x="27829" y="19229"/>
                                      <a:pt x="22232" y="21600"/>
                                      <a:pt x="16385" y="21600"/>
                                    </a:cubicBezTo>
                                    <a:cubicBezTo>
                                      <a:pt x="10087" y="21600"/>
                                      <a:pt x="4103" y="18851"/>
                                      <a:pt x="0" y="14074"/>
                                    </a:cubicBezTo>
                                  </a:path>
                                  <a:path fill="norm" h="21600" w="21600" stroke="0">
                                    <a:moveTo>
                                      <a:pt x="31898" y="15029"/>
                                    </a:moveTo>
                                    <a:cubicBezTo>
                                      <a:pt x="27829" y="19229"/>
                                      <a:pt x="22232" y="21600"/>
                                      <a:pt x="16385" y="21600"/>
                                    </a:cubicBezTo>
                                    <a:cubicBezTo>
                                      <a:pt x="10087" y="21600"/>
                                      <a:pt x="4103" y="18851"/>
                                      <a:pt x="0" y="14074"/>
                                    </a:cubicBezTo>
                                    <a:lnTo>
                                      <a:pt x="16385" y="0"/>
                                    </a:lnTo>
                                    <a:lnTo>
                                      <a:pt x="31898" y="15029"/>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g:grpSp>
                        <wpg:grpSp>
                          <wpg:cNvPr id="35" name="Group 42"/>
                          <wpg:cNvGrpSpPr/>
                          <wpg:grpSpPr>
                            <a:xfrm rot="6176752" flipH="1">
                              <a:off x="10860" y="11059"/>
                              <a:ext cx="70" cy="66"/>
                              <a:chOff x="9811" y="11318"/>
                              <a:chExt cx="70" cy="66"/>
                            </a:xfrm>
                          </wpg:grpSpPr>
                          <wps:wsp xmlns:wps="http://schemas.microsoft.com/office/word/2010/wordprocessingShape">
                            <wps:cNvPr id="36" name="Arc 43"/>
                            <wps:cNvSpPr/>
                            <wps:spPr bwMode="auto">
                              <a:xfrm rot="11576752" flipH="1">
                                <a:off x="9812" y="11342"/>
                                <a:ext cx="50" cy="34"/>
                              </a:xfrm>
                              <a:custGeom>
                                <a:avLst/>
                                <a:gdLst>
                                  <a:gd name="T0" fmla="*/ 50 w 21600"/>
                                  <a:gd name="T1" fmla="*/ 24 h 21600"/>
                                  <a:gd name="T2" fmla="*/ 0 w 21600"/>
                                  <a:gd name="T3" fmla="*/ 22 h 21600"/>
                                  <a:gd name="T4" fmla="*/ 26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1898" y="15029"/>
                                    </a:moveTo>
                                    <a:cubicBezTo>
                                      <a:pt x="27829" y="19229"/>
                                      <a:pt x="22232" y="21600"/>
                                      <a:pt x="16385" y="21600"/>
                                    </a:cubicBezTo>
                                    <a:cubicBezTo>
                                      <a:pt x="10087" y="21600"/>
                                      <a:pt x="4103" y="18851"/>
                                      <a:pt x="0" y="14074"/>
                                    </a:cubicBezTo>
                                  </a:path>
                                  <a:path fill="norm" h="21600" w="21600" stroke="0">
                                    <a:moveTo>
                                      <a:pt x="31898" y="15029"/>
                                    </a:moveTo>
                                    <a:cubicBezTo>
                                      <a:pt x="27829" y="19229"/>
                                      <a:pt x="22232" y="21600"/>
                                      <a:pt x="16385" y="21600"/>
                                    </a:cubicBezTo>
                                    <a:cubicBezTo>
                                      <a:pt x="10087" y="21600"/>
                                      <a:pt x="4103" y="18851"/>
                                      <a:pt x="0" y="14074"/>
                                    </a:cubicBezTo>
                                    <a:lnTo>
                                      <a:pt x="16385" y="0"/>
                                    </a:lnTo>
                                    <a:lnTo>
                                      <a:pt x="31898" y="15029"/>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s:wsp xmlns:wps="http://schemas.microsoft.com/office/word/2010/wordprocessingShape">
                            <wps:cNvPr id="37" name="Arc 44"/>
                            <wps:cNvSpPr/>
                            <wps:spPr bwMode="auto">
                              <a:xfrm rot="11576752" flipH="1">
                                <a:off x="9811" y="11330"/>
                                <a:ext cx="63" cy="33"/>
                              </a:xfrm>
                              <a:custGeom>
                                <a:avLst/>
                                <a:gdLst>
                                  <a:gd name="T0" fmla="*/ 63 w 21600"/>
                                  <a:gd name="T1" fmla="*/ 20 h 21600"/>
                                  <a:gd name="T2" fmla="*/ 0 w 21600"/>
                                  <a:gd name="T3" fmla="*/ 22 h 21600"/>
                                  <a:gd name="T4" fmla="*/ 31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3478" y="13204"/>
                                    </a:moveTo>
                                    <a:cubicBezTo>
                                      <a:pt x="29388" y="18499"/>
                                      <a:pt x="23075" y="21600"/>
                                      <a:pt x="16385" y="21600"/>
                                    </a:cubicBezTo>
                                    <a:cubicBezTo>
                                      <a:pt x="10087" y="21600"/>
                                      <a:pt x="4103" y="18851"/>
                                      <a:pt x="0" y="14074"/>
                                    </a:cubicBezTo>
                                  </a:path>
                                  <a:path fill="norm" h="21600" w="21600" stroke="0">
                                    <a:moveTo>
                                      <a:pt x="33478" y="13204"/>
                                    </a:moveTo>
                                    <a:cubicBezTo>
                                      <a:pt x="29388" y="18499"/>
                                      <a:pt x="23075" y="21600"/>
                                      <a:pt x="16385" y="21600"/>
                                    </a:cubicBezTo>
                                    <a:cubicBezTo>
                                      <a:pt x="10087" y="21600"/>
                                      <a:pt x="4103" y="18851"/>
                                      <a:pt x="0" y="14074"/>
                                    </a:cubicBezTo>
                                    <a:lnTo>
                                      <a:pt x="16385" y="0"/>
                                    </a:lnTo>
                                    <a:lnTo>
                                      <a:pt x="33478" y="13204"/>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s:wsp xmlns:wps="http://schemas.microsoft.com/office/word/2010/wordprocessingShape">
                            <wps:cNvPr id="38" name="Arc 45"/>
                            <wps:cNvSpPr/>
                            <wps:spPr bwMode="auto">
                              <a:xfrm rot="11576752" flipH="1">
                                <a:off x="9813" y="11318"/>
                                <a:ext cx="69" cy="35"/>
                              </a:xfrm>
                              <a:custGeom>
                                <a:avLst/>
                                <a:gdLst>
                                  <a:gd name="T0" fmla="*/ 69 w 21600"/>
                                  <a:gd name="T1" fmla="*/ 24 h 21600"/>
                                  <a:gd name="T2" fmla="*/ 0 w 21600"/>
                                  <a:gd name="T3" fmla="*/ 23 h 21600"/>
                                  <a:gd name="T4" fmla="*/ 35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1898" y="15029"/>
                                    </a:moveTo>
                                    <a:cubicBezTo>
                                      <a:pt x="27829" y="19229"/>
                                      <a:pt x="22232" y="21600"/>
                                      <a:pt x="16385" y="21600"/>
                                    </a:cubicBezTo>
                                    <a:cubicBezTo>
                                      <a:pt x="10087" y="21600"/>
                                      <a:pt x="4103" y="18851"/>
                                      <a:pt x="0" y="14074"/>
                                    </a:cubicBezTo>
                                  </a:path>
                                  <a:path fill="norm" h="21600" w="21600" stroke="0">
                                    <a:moveTo>
                                      <a:pt x="31898" y="15029"/>
                                    </a:moveTo>
                                    <a:cubicBezTo>
                                      <a:pt x="27829" y="19229"/>
                                      <a:pt x="22232" y="21600"/>
                                      <a:pt x="16385" y="21600"/>
                                    </a:cubicBezTo>
                                    <a:cubicBezTo>
                                      <a:pt x="10087" y="21600"/>
                                      <a:pt x="4103" y="18851"/>
                                      <a:pt x="0" y="14074"/>
                                    </a:cubicBezTo>
                                    <a:lnTo>
                                      <a:pt x="16385" y="0"/>
                                    </a:lnTo>
                                    <a:lnTo>
                                      <a:pt x="31898" y="15029"/>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s:wsp xmlns:wps="http://schemas.microsoft.com/office/word/2010/wordprocessingShape">
                            <wps:cNvPr id="39" name="Arc 46"/>
                            <wps:cNvSpPr/>
                            <wps:spPr bwMode="auto">
                              <a:xfrm rot="11576752" flipH="1">
                                <a:off x="9816" y="11353"/>
                                <a:ext cx="33" cy="31"/>
                              </a:xfrm>
                              <a:custGeom>
                                <a:avLst/>
                                <a:gdLst>
                                  <a:gd name="T0" fmla="*/ 33 w 21600"/>
                                  <a:gd name="T1" fmla="*/ 22 h 21600"/>
                                  <a:gd name="T2" fmla="*/ 0 w 21600"/>
                                  <a:gd name="T3" fmla="*/ 20 h 21600"/>
                                  <a:gd name="T4" fmla="*/ 17 w 21600"/>
                                  <a:gd name="T5" fmla="*/ 0 h 21600"/>
                                  <a:gd name="T6" fmla="*/ 0 60000 65536"/>
                                  <a:gd name="T7" fmla="*/ 0 60000 65536"/>
                                  <a:gd name="T8" fmla="*/ 0 60000 65536"/>
                                  <a:gd name="T9" fmla="*/ 3163 w 21600"/>
                                  <a:gd name="T10" fmla="*/ 3163 h 21600"/>
                                  <a:gd name="T11" fmla="*/ 18437 w 21600"/>
                                  <a:gd name="T12" fmla="*/ 18437 h 21600"/>
                                </a:gdLst>
                                <a:cxnLst>
                                  <a:cxn ang="T6">
                                    <a:pos x="T0" y="T1"/>
                                  </a:cxn>
                                  <a:cxn ang="T7">
                                    <a:pos x="T2" y="T3"/>
                                  </a:cxn>
                                  <a:cxn ang="T8">
                                    <a:pos x="T4" y="T5"/>
                                  </a:cxn>
                                </a:cxnLst>
                                <a:rect l="T9" t="T10" r="T11" b="T12"/>
                                <a:pathLst>
                                  <a:path fill="none" h="21600" w="21600" stroke="1">
                                    <a:moveTo>
                                      <a:pt x="31898" y="15029"/>
                                    </a:moveTo>
                                    <a:cubicBezTo>
                                      <a:pt x="27829" y="19229"/>
                                      <a:pt x="22232" y="21600"/>
                                      <a:pt x="16385" y="21600"/>
                                    </a:cubicBezTo>
                                    <a:cubicBezTo>
                                      <a:pt x="10087" y="21600"/>
                                      <a:pt x="4103" y="18851"/>
                                      <a:pt x="0" y="14074"/>
                                    </a:cubicBezTo>
                                  </a:path>
                                  <a:path fill="norm" h="21600" w="21600" stroke="0">
                                    <a:moveTo>
                                      <a:pt x="31898" y="15029"/>
                                    </a:moveTo>
                                    <a:cubicBezTo>
                                      <a:pt x="27829" y="19229"/>
                                      <a:pt x="22232" y="21600"/>
                                      <a:pt x="16385" y="21600"/>
                                    </a:cubicBezTo>
                                    <a:cubicBezTo>
                                      <a:pt x="10087" y="21600"/>
                                      <a:pt x="4103" y="18851"/>
                                      <a:pt x="0" y="14074"/>
                                    </a:cubicBezTo>
                                    <a:lnTo>
                                      <a:pt x="16385" y="0"/>
                                    </a:lnTo>
                                    <a:lnTo>
                                      <a:pt x="31898" y="15029"/>
                                    </a:lnTo>
                                    <a:close/>
                                  </a:path>
                                </a:pathLst>
                              </a:custGeom>
                              <a:noFill/>
                              <a:ln w="9525">
                                <a:solidFill>
                                  <a:srgbClr val="000000"/>
                                </a:solidFill>
                                <a:round/>
                                <a:headEnd/>
                                <a:tailEnd/>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anchor="t" anchorCtr="0" upright="1"/>
                          </wps:wsp>
                        </wpg:grpSp>
                      </wpg:grpSp>
                      <wps:wsp xmlns:wps="http://schemas.microsoft.com/office/word/2010/wordprocessingShape">
                        <wps:cNvPr id="40" name="WordArt 47"/>
                        <wps:cNvSpPr txBox="1">
                          <a:spLocks noChangeArrowheads="1" noChangeShapeType="1"/>
                        </wps:cNvSpPr>
                        <wps:spPr bwMode="auto">
                          <a:xfrm>
                            <a:off x="11587" y="10919"/>
                            <a:ext cx="59" cy="3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407C9" w:rsidP="00E637B3" w14:textId="77777777">
                              <w:pPr>
                                <w:pStyle w:val="NormalWeb"/>
                                <w:spacing w:before="0" w:beforeAutospacing="0" w:after="0" w:afterAutospacing="0"/>
                                <w:jc w:val="center"/>
                              </w:pPr>
                            </w:p>
                          </w:txbxContent>
                        </wps:txbx>
                        <wps:bodyPr rot="0" vert="horz" wrap="square"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1" o:spid="_x0000_s1030" style="width:67.1pt;height:65.5pt;margin-top:429.9pt;margin-left:-34.3pt;position:absolute;z-index:251670528" coordorigin="11558,10856" coordsize="117,112">
                <v:group id="Group 12" o:spid="_x0000_s1031" style="width:117;height:112;left:11558;position:absolute;top:10856" coordorigin="11543,10631" coordsize="117,111">
                  <v:group id="Group 13" o:spid="_x0000_s1032" style="width:117;height:111;left:11543;position:absolute;top:10631" coordorigin="10124,10773" coordsize="392,386">
                    <v:group id="Group 14" o:spid="_x0000_s1033" style="width:393;height:386;left:10124;position:absolute;top:10773" coordorigin="10124,10773" coordsize="395,379">
                      <v:oval id="Oval 15" o:spid="_x0000_s1034" style="width:395;height:379;left:10124;mso-wrap-style:square;position:absolute;top:10773;visibility:visible;v-text-anchor:top" fillcolor="black" strokeweight="0.1pt" insetpen="t">
                        <v:shadow color="#ccc"/>
                      </v:oval>
                      <v:oval id="Oval 16" o:spid="_x0000_s1035" style="width:375;height:358;left:10134;mso-wrap-style:square;position:absolute;top:10784;visibility:visible;v-text-anchor:top" fillcolor="#036" strokecolor="#036" strokeweight="0.1pt" insetpen="t">
                        <v:shadow color="#ccc"/>
                      </v:oval>
                    </v:group>
                    <v:oval id="Oval 17" o:spid="_x0000_s1036" style="width:289;height:281;left:10175;mso-wrap-style:square;position:absolute;top:10826;visibility:visible;v-text-anchor:top" fillcolor="black" strokeweight="0.1pt" insetpen="t">
                      <v:shadow color="#ccc"/>
                    </v:oval>
                    <v:oval id="Oval 18" o:spid="_x0000_s1037" style="width:267;height:256;left:10186;mso-wrap-style:square;position:absolute;top:10839;visibility:visible;v-text-anchor:top" strokecolor="white" strokeweight="0.1pt" insetpen="t">
                      <v:shadow color="#ccc"/>
                    </v:oval>
                  </v:group>
                  <v:group id="Group 19" o:spid="_x0000_s1038" style="width:42;height:77;left:11581;position:absolute;rotation:4392079fd;top:10679" coordorigin="10197,11119" coordsize="145,259">
                    <v:shape id="AutoShape 20" o:spid="_x0000_s1039" style="width:29;height:27;flip:x;left:10239;mso-wrap-style:square;position:absolute;rotation:9107972fd;top:11333;visibility:visible;v-text-anchor:top" coordsize="10000,10000" path="m,3704l3793,3704l5172,,6207,3704l10000,3704l6897,6296l7931,10000l5172,7778,2069,10000,3103,6296,,3704xe" fillcolor="#fc0" strokeweight="0.1pt" insetpen="t">
                      <v:stroke joinstyle="miter"/>
                      <v:shadow on="t" color="black" offset="1pt,1pt"/>
                      <v:path o:connecttype="custom" o:connectlocs="0,0;0,0;0,0;0,0;0,0;0,0;0,0;0,0;0,0;0,0;0,0" o:connectangles="0,0,0,0,0,0,0,0,0,0,0"/>
                    </v:shape>
                    <v:shape id="AutoShape 21" o:spid="_x0000_s1040" style="width:28;height:27;flip:x;left:10275;mso-wrap-style:square;position:absolute;rotation:9107972fd;top:11300;visibility:visible;v-text-anchor:top" coordsize="10000,10000" path="m,3704l3929,3704l5000,,6071,3704l10000,3704l6786,6296l8214,10000l5000,7778,1786,10000,3214,6296,,3704xe" fillcolor="#fc0" strokeweight="0.1pt" insetpen="t">
                      <v:stroke joinstyle="miter"/>
                      <v:shadow on="t" color="black" offset="1pt,1pt"/>
                      <v:path o:connecttype="custom" o:connectlocs="0,0;0,0;0,0;0,0;0,0;0,0;0,0;0,0;0,0;0,0;0,0" o:connectangles="0,0,0,0,0,0,0,0,0,0,0"/>
                    </v:shape>
                    <v:shape id="AutoShape 22" o:spid="_x0000_s1041" style="width:28;height:28;flip:x;left:10304;mso-wrap-style:square;position:absolute;rotation:9107972fd;top:11258;visibility:visible;v-text-anchor:top" coordsize="10000,10000" path="m,3929l3929,3929l5000,,6071,3929l10000,3929l6786,6071l8214,10000l5000,7500,1786,10000,3214,6071,,3929xe" fillcolor="#fc0" strokeweight="0.1pt" insetpen="t">
                      <v:stroke joinstyle="miter"/>
                      <v:shadow on="t" color="black" offset="1pt,1pt"/>
                      <v:path o:connecttype="custom" o:connectlocs="0,0;0,0;0,0;0,0;0,0;0,0;0,0;0,0;0,0;0,0;0,0" o:connectangles="0,0,0,0,0,0,0,0,0,0,0"/>
                    </v:shape>
                    <v:shape id="AutoShape 23" o:spid="_x0000_s1042" style="width:29;height:27;flip:x;left:10314;mso-wrap-style:square;position:absolute;rotation:9107972fd;top:11210;visibility:visible;v-text-anchor:top" coordsize="10000,10000" path="m,3704l3793,3704l5172,,6207,3704l10000,3704l6897,6296l7931,10000l5172,7778,2069,10000,3103,6296,,3704xe" fillcolor="#fc0" strokeweight="0.1pt" insetpen="t">
                      <v:stroke joinstyle="miter"/>
                      <v:shadow on="t" color="black" offset="1pt,1pt"/>
                      <v:path o:connecttype="custom" o:connectlocs="0,0;0,0;0,0;0,0;0,0;0,0;0,0;0,0;0,0;0,0;0,0" o:connectangles="0,0,0,0,0,0,0,0,0,0,0"/>
                    </v:shape>
                    <v:shape id="AutoShape 24" o:spid="_x0000_s1043" style="width:28;height:27;flip:x;left:10310;mso-wrap-style:square;position:absolute;rotation:9107972fd;top:11164;visibility:visible;v-text-anchor:top" coordsize="10000,10000" path="m,3704l3929,3704l5000,,6071,3704l10000,3704l6786,6296l8214,10000l5000,7778,1786,10000,3214,6296,,3704xe" fillcolor="#fc0" strokeweight="0.1pt" insetpen="t">
                      <v:stroke joinstyle="miter"/>
                      <v:shadow on="t" color="black" offset="1pt,1pt"/>
                      <v:path o:connecttype="custom" o:connectlocs="0,0;0,0;0,0;0,0;0,0;0,0;0,0;0,0;0,0;0,0;0,0" o:connectangles="0,0,0,0,0,0,0,0,0,0,0"/>
                    </v:shape>
                    <v:shape id="AutoShape 25" o:spid="_x0000_s1044" style="width:28;height:28;flip:x;left:10296;mso-wrap-style:square;position:absolute;rotation:9107972fd;top:11119;visibility:visible;v-text-anchor:top" coordsize="10000,10000" path="m,3929l3929,3929l5000,,6071,3929l10000,3929l6786,6071l8214,10000l5000,7500,1786,10000,3214,6071,,3929xe" fillcolor="#fc0" strokeweight="0.1pt" insetpen="t">
                      <v:stroke joinstyle="miter"/>
                      <v:shadow on="t" color="black" offset="1pt,1pt"/>
                      <v:path o:connecttype="custom" o:connectlocs="0,0;0,0;0,0;0,0;0,0;0,0;0,0;0,0;0,0;0,0;0,0" o:connectangles="0,0,0,0,0,0,0,0,0,0,0"/>
                    </v:shape>
                    <v:shape id="AutoShape 26" o:spid="_x0000_s1045" style="width:28;height:28;flip:x;left:10197;mso-wrap-style:square;position:absolute;rotation:9107972fd;top:11351;visibility:visible;v-text-anchor:top" coordsize="10000,10000" path="m,3929l3929,3929l5000,,6071,3929l10000,3929l6786,6071l8214,10000l5000,7500,1786,10000,3214,6071,,3929xe" fillcolor="#fc0" strokeweight="0.1pt" insetpen="t">
                      <v:stroke joinstyle="miter"/>
                      <v:shadow on="t" color="black" offset="1pt,1pt"/>
                      <v:path o:connecttype="custom" o:connectlocs="0,0;0,0;0,0;0,0;0,0;0,0;0,0;0,0;0,0;0,0;0,0" o:connectangles="0,0,0,0,0,0,0,0,0,0,0"/>
                    </v:shape>
                  </v:group>
                  <v:shape id="WordArt 27" o:spid="_x0000_s1046" type="#_x0000_t202" style="width:97;height:36;left:11553;mso-wrap-style:square;position:absolute;top:10640;visibility:visible;v-text-anchor:top" filled="f" stroked="f">
                    <o:lock v:ext="edit" shapetype="t"/>
                    <v:textbox style="mso-fit-shape-to-text:t">
                      <w:txbxContent>
                        <w:p w:rsidR="00B407C9" w:rsidP="00E637B3" w14:paraId="2089D097" w14:textId="77777777">
                          <w:pPr>
                            <w:pStyle w:val="NormalWeb"/>
                            <w:spacing w:before="0" w:beforeAutospacing="0" w:after="0" w:afterAutospacing="0"/>
                            <w:jc w:val="cente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47" type="#_x0000_t75" style="width:69;height:35;left:11582;mso-wrap-style:square;position:absolute;top:10898;visibility:visible" strokecolor="white" strokeweight="0.1pt" insetpen="t">
                  <v:imagedata r:id="rId6" o:title=""/>
                  <v:shadow color="#ccc"/>
                </v:shape>
                <v:group id="Group 29" o:spid="_x0000_s1048" style="width:21;height:56;left:11605;position:absolute;top:10896" coordorigin="10104,11303" coordsize="64,165">
                  <v:line id="Line 30" o:spid="_x0000_s1049" style="flip:x;mso-wrap-style:square;position:absolute;visibility:visible" from="10104,11303" to="10140,11467" o:connectortype="straight" strokeweight="1.5pt">
                    <v:shadow color="#ccc"/>
                  </v:line>
                  <v:line id="Line 31" o:spid="_x0000_s1050" style="mso-wrap-style:square;position:absolute;visibility:visible" from="10140,11303" to="10169,11468" o:connectortype="straight" strokeweight="1.5pt">
                    <v:shadow color="#ccc"/>
                  </v:line>
                </v:group>
                <v:group id="Group 32" o:spid="_x0000_s1051" style="width:31;height:20;left:11601;position:absolute;top:10879" coordorigin="10815,11057" coordsize="113,70">
                  <v:oval id="Oval 33" o:spid="_x0000_s1052" style="width:28;height:26;left:10857;mso-wrap-style:square;position:absolute;top:11088;visibility:visible;v-text-anchor:top" filled="f" insetpen="t">
                    <v:shadow color="#ccc"/>
                  </v:oval>
                  <v:line id="Line 34" o:spid="_x0000_s1053" style="flip:y;mso-wrap-style:square;position:absolute;visibility:visible" from="10871,11101" to="10871,11120" o:connectortype="straight">
                    <v:shadow color="#ccc"/>
                  </v:line>
                  <v:oval id="Oval 35" o:spid="_x0000_s1054" style="width:9;height:8;left:10866;mso-wrap-style:square;position:absolute;top:11097;visibility:visible;v-text-anchor:top" filled="f" strokeweight="1.5pt" insetpen="t">
                    <v:shadow color="#ccc"/>
                  </v:oval>
                  <v:oval id="Oval 36" o:spid="_x0000_s1055" style="width:16;height:15;left:10862;mso-wrap-style:square;position:absolute;top:11094;visibility:visible;v-text-anchor:top" filled="f" insetpen="t">
                    <v:shadow color="#ccc"/>
                  </v:oval>
                  <v:group id="Group 37" o:spid="_x0000_s1056" style="width:70;height:66;left:10813;position:absolute;rotation:-6694564fd;top:11059" coordorigin="9669,11159" coordsize="70,66">
                    <v:shape id="Arc 38" o:spid="_x0000_s1057" style="width:51;height:33;flip:x;left:9669;mso-wrap-style:square;position:absolute;rotation:10948060fd;top:11184;visibility:visible;v-text-anchor:top" coordsize="21600,21600" path="m31898,15029nfc27829,19229,22232,21600,16385,21600,10087,21600,4103,18851,,14074em31898,15029nsc27829,19229,22232,21600,16385,21600,10087,21600,4103,18851,,14074l16385,,31898,15029xe" filled="f">
                      <v:shadow color="#ccc"/>
                      <v:path arrowok="t" o:connecttype="custom" o:connectlocs="0,0;0,0;0,0" o:connectangles="0,0,0" textboxrect="2965,3273,18635,18327"/>
                    </v:shape>
                    <v:shape id="Arc 39" o:spid="_x0000_s1058" style="width:62;height:34;flip:x;left:9669;mso-wrap-style:square;position:absolute;rotation:10948060fd;top:11171;visibility:visible;v-text-anchor:top" coordsize="21600,21600" path="m33478,13204nfc29388,18499,23075,21600,16385,21600,10087,21600,4103,18851,,14074em33478,13204nsc29388,18499,23075,21600,16385,21600,10087,21600,4103,18851,,14074l16385,,33478,13204xe" filled="f">
                      <v:shadow color="#ccc"/>
                      <v:path arrowok="t" o:connecttype="custom" o:connectlocs="0,0;0,0;0,0" o:connectangles="0,0,0" textboxrect="3135,3176,18465,18424"/>
                    </v:shape>
                    <v:shape id="Arc 40" o:spid="_x0000_s1059" style="width:69;height:36;flip:x;left:9670;mso-wrap-style:square;position:absolute;rotation:10948060fd;top:11159;visibility:visible;v-text-anchor:top" coordsize="21600,21600" path="m31898,15029nfc27829,19229,22232,21600,16385,21600,10087,21600,4103,18851,,14074em31898,15029nsc27829,19229,22232,21600,16385,21600,10087,21600,4103,18851,,14074l16385,,31898,15029xe" filled="f">
                      <v:shadow color="#ccc"/>
                      <v:path arrowok="t" o:connecttype="custom" o:connectlocs="0,0;0,0;0,0" o:connectangles="0,0,0" textboxrect="3130,3000,18470,18600"/>
                    </v:shape>
                    <v:shape id="Arc 41" o:spid="_x0000_s1060" style="width:33;height:31;flip:x;left:9674;mso-wrap-style:square;position:absolute;rotation:10948060fd;top:11194;visibility:visible;v-text-anchor:top" coordsize="21600,21600" path="m31898,15029nfc27829,19229,22232,21600,16385,21600,10087,21600,4103,18851,,14074em31898,15029nsc27829,19229,22232,21600,16385,21600,10087,21600,4103,18851,,14074l16385,,31898,15029xe" filled="f">
                      <v:shadow color="#ccc"/>
                      <v:path arrowok="t" o:connecttype="custom" o:connectlocs="0,0;0,0;0,0" o:connectangles="0,0,0" textboxrect="3273,3484,18327,18116"/>
                    </v:shape>
                  </v:group>
                  <v:group id="Group 42" o:spid="_x0000_s1061" style="width:70;height:66;flip:x;left:10860;position:absolute;rotation:-6746660fd;top:11059" coordorigin="9811,11318" coordsize="70,66">
                    <v:shape id="Arc 43" o:spid="_x0000_s1062" style="width:50;height:34;flip:x;left:9812;mso-wrap-style:square;position:absolute;rotation:10948060fd;top:11342;visibility:visible;v-text-anchor:top" coordsize="21600,21600" path="m31898,15029nfc27829,19229,22232,21600,16385,21600,10087,21600,4103,18851,,14074em31898,15029nsc27829,19229,22232,21600,16385,21600,10087,21600,4103,18851,,14074l16385,,31898,15029xe" filled="f">
                      <v:shadow color="#ccc"/>
                      <v:path arrowok="t" o:connecttype="custom" o:connectlocs="0,0;0,0;0,0" o:connectangles="0,0,0" textboxrect="3024,3176,18576,18424"/>
                    </v:shape>
                    <v:shape id="Arc 44" o:spid="_x0000_s1063" style="width:63;height:33;flip:x;left:9811;mso-wrap-style:square;position:absolute;rotation:10948060fd;top:11330;visibility:visible;v-text-anchor:top" coordsize="21600,21600" path="m33478,13204nfc29388,18499,23075,21600,16385,21600,10087,21600,4103,18851,,14074em33478,13204nsc29388,18499,23075,21600,16385,21600,10087,21600,4103,18851,,14074l16385,,33478,13204xe" filled="f">
                      <v:shadow color="#ccc"/>
                      <v:path arrowok="t" o:connecttype="custom" o:connectlocs="0,0;0,0;0,0" o:connectangles="0,0,0" textboxrect="3086,3273,18514,18327"/>
                    </v:shape>
                    <v:shape id="Arc 45" o:spid="_x0000_s1064" style="width:69;height:35;flip:x;left:9813;mso-wrap-style:square;position:absolute;rotation:10948060fd;top:11318;visibility:visible;v-text-anchor:top" coordsize="21600,21600" path="m31898,15029nfc27829,19229,22232,21600,16385,21600,10087,21600,4103,18851,,14074em31898,15029nsc27829,19229,22232,21600,16385,21600,10087,21600,4103,18851,,14074l16385,,31898,15029xe" filled="f">
                      <v:shadow color="#ccc"/>
                      <v:path arrowok="t" o:connecttype="custom" o:connectlocs="0,0;0,0;0,0" o:connectangles="0,0,0" textboxrect="3130,3086,18470,18514"/>
                    </v:shape>
                    <v:shape id="Arc 46" o:spid="_x0000_s1065" style="width:33;height:31;flip:x;left:9816;mso-wrap-style:square;position:absolute;rotation:10948060fd;top:11353;visibility:visible;v-text-anchor:top" coordsize="21600,21600" path="m31898,15029nfc27829,19229,22232,21600,16385,21600,10087,21600,4103,18851,,14074em31898,15029nsc27829,19229,22232,21600,16385,21600,10087,21600,4103,18851,,14074l16385,,31898,15029xe" filled="f">
                      <v:shadow color="#ccc"/>
                      <v:path arrowok="t" o:connecttype="custom" o:connectlocs="0,0;0,0;0,0" o:connectangles="0,0,0" textboxrect="3273,3484,18327,18116"/>
                    </v:shape>
                  </v:group>
                </v:group>
                <v:shape id="WordArt 47" o:spid="_x0000_s1066" type="#_x0000_t202" style="width:59;height:36;left:11587;mso-wrap-style:square;position:absolute;top:10919;visibility:visible;v-text-anchor:top" filled="f" stroked="f">
                  <o:lock v:ext="edit" shapetype="t"/>
                  <v:textbox style="mso-fit-shape-to-text:t">
                    <w:txbxContent>
                      <w:p w:rsidR="00B407C9" w:rsidP="00E637B3" w14:paraId="3461520E" w14:textId="77777777">
                        <w:pPr>
                          <w:pStyle w:val="NormalWeb"/>
                          <w:spacing w:before="0" w:beforeAutospacing="0" w:after="0" w:afterAutospacing="0"/>
                          <w:jc w:val="center"/>
                        </w:pPr>
                      </w:p>
                    </w:txbxContent>
                  </v:textbox>
                </v:shape>
              </v:group>
            </w:pict>
          </mc:Fallback>
        </mc:AlternateContent>
      </w:r>
      <w:r w:rsidRPr="00FC68E8" w:rsidR="00E637B3">
        <w:rPr>
          <w:rFonts w:cs="Times New Roman"/>
          <w:szCs w:val="22"/>
        </w:rPr>
        <w:br w:type="page"/>
      </w:r>
    </w:p>
    <w:p w:rsidR="00AD460F" w:rsidP="00B57342" w14:paraId="68C582B2" w14:textId="77777777">
      <w:pPr>
        <w:pStyle w:val="TOCTitle"/>
      </w:pPr>
      <w:r>
        <w:t>Table of Contents</w:t>
      </w:r>
    </w:p>
    <w:p w:rsidR="00606ABE" w:rsidP="00091DBB" w14:paraId="7C33E12B" w14:textId="77777777">
      <w:pPr>
        <w:pStyle w:val="Paratitle"/>
        <w:rPr>
          <w:lang w:eastAsia="en-US"/>
        </w:rPr>
      </w:pPr>
      <w:bookmarkStart w:id="2" w:name="TOChere"/>
      <w:r>
        <w:rPr>
          <w:lang w:eastAsia="en-US"/>
        </w:rPr>
        <w:t>Heading</w:t>
      </w:r>
      <w:r>
        <w:rPr>
          <w:lang w:eastAsia="en-US"/>
        </w:rPr>
        <w:tab/>
        <w:t>Pa</w:t>
      </w:r>
      <w:r w:rsidR="00A41A80">
        <w:rPr>
          <w:lang w:eastAsia="en-US"/>
        </w:rPr>
        <w:t>ge</w:t>
      </w:r>
      <w:r>
        <w:rPr>
          <w:lang w:eastAsia="en-US"/>
        </w:rPr>
        <w:t xml:space="preserve"> #</w:t>
      </w:r>
      <w:bookmarkStart w:id="3" w:name="start_here"/>
      <w:bookmarkEnd w:id="3"/>
    </w:p>
    <w:p w:rsidR="00173640" w14:paraId="7A8F5351" w14:textId="66434481">
      <w:pPr>
        <w:pStyle w:val="TOC1"/>
        <w:rPr>
          <w:rFonts w:asciiTheme="minorHAnsi" w:eastAsiaTheme="minorEastAsia" w:hAnsiTheme="minorHAnsi" w:cstheme="minorBidi"/>
          <w:bCs w:val="0"/>
          <w:caps w:val="0"/>
          <w:kern w:val="0"/>
          <w:szCs w:val="22"/>
          <w:lang w:eastAsia="en-US"/>
        </w:rPr>
      </w:pPr>
      <w:r>
        <w:rPr>
          <w:rFonts w:asciiTheme="minorHAnsi" w:eastAsiaTheme="minorEastAsia" w:hAnsiTheme="minorHAnsi" w:cstheme="minorBidi"/>
          <w:szCs w:val="22"/>
        </w:rPr>
        <w:fldChar w:fldCharType="begin"/>
      </w:r>
      <w:r>
        <w:rPr>
          <w:rFonts w:asciiTheme="minorHAnsi" w:eastAsiaTheme="minorEastAsia" w:hAnsiTheme="minorHAnsi" w:cstheme="minorBidi"/>
          <w:szCs w:val="22"/>
        </w:rPr>
        <w:instrText xml:space="preserve"> TOC \o "1-3" \h \z \u </w:instrText>
      </w:r>
      <w:r>
        <w:rPr>
          <w:rFonts w:asciiTheme="minorHAnsi" w:eastAsiaTheme="minorEastAsia" w:hAnsiTheme="minorHAnsi" w:cstheme="minorBidi"/>
          <w:szCs w:val="22"/>
        </w:rPr>
        <w:fldChar w:fldCharType="separate"/>
      </w:r>
      <w:hyperlink w:anchor="_Toc5614026" w:history="1">
        <w:r w:rsidRPr="004C0B8D">
          <w:rPr>
            <w:rStyle w:val="Hyperlink"/>
          </w:rPr>
          <w:t>I.</w:t>
        </w:r>
        <w:r>
          <w:rPr>
            <w:rFonts w:asciiTheme="minorHAnsi" w:eastAsiaTheme="minorEastAsia" w:hAnsiTheme="minorHAnsi" w:cstheme="minorBidi"/>
            <w:bCs w:val="0"/>
            <w:caps w:val="0"/>
            <w:kern w:val="0"/>
            <w:szCs w:val="22"/>
            <w:lang w:eastAsia="en-US"/>
          </w:rPr>
          <w:tab/>
        </w:r>
        <w:r w:rsidRPr="004C0B8D">
          <w:rPr>
            <w:rStyle w:val="Hyperlink"/>
          </w:rPr>
          <w:t>Summary</w:t>
        </w:r>
        <w:r>
          <w:rPr>
            <w:webHidden/>
          </w:rPr>
          <w:tab/>
        </w:r>
        <w:r>
          <w:rPr>
            <w:webHidden/>
          </w:rPr>
          <w:fldChar w:fldCharType="begin"/>
        </w:r>
        <w:r>
          <w:rPr>
            <w:webHidden/>
          </w:rPr>
          <w:instrText xml:space="preserve"> PAGEREF _Toc5614026 \h </w:instrText>
        </w:r>
        <w:r>
          <w:rPr>
            <w:webHidden/>
          </w:rPr>
          <w:fldChar w:fldCharType="separate"/>
        </w:r>
        <w:r>
          <w:rPr>
            <w:webHidden/>
          </w:rPr>
          <w:t>3</w:t>
        </w:r>
        <w:r>
          <w:rPr>
            <w:webHidden/>
          </w:rPr>
          <w:fldChar w:fldCharType="end"/>
        </w:r>
      </w:hyperlink>
    </w:p>
    <w:p w:rsidR="00173640" w14:paraId="677C3ABE" w14:textId="60BBB8FA">
      <w:pPr>
        <w:pStyle w:val="TOC1"/>
        <w:rPr>
          <w:rFonts w:asciiTheme="minorHAnsi" w:eastAsiaTheme="minorEastAsia" w:hAnsiTheme="minorHAnsi" w:cstheme="minorBidi"/>
          <w:bCs w:val="0"/>
          <w:caps w:val="0"/>
          <w:kern w:val="0"/>
          <w:szCs w:val="22"/>
          <w:lang w:eastAsia="en-US"/>
        </w:rPr>
      </w:pPr>
      <w:hyperlink w:anchor="_Toc5614027" w:history="1">
        <w:r w:rsidRPr="004C0B8D">
          <w:rPr>
            <w:rStyle w:val="Hyperlink"/>
          </w:rPr>
          <w:t>II.</w:t>
        </w:r>
        <w:r>
          <w:rPr>
            <w:rFonts w:asciiTheme="minorHAnsi" w:eastAsiaTheme="minorEastAsia" w:hAnsiTheme="minorHAnsi" w:cstheme="minorBidi"/>
            <w:bCs w:val="0"/>
            <w:caps w:val="0"/>
            <w:kern w:val="0"/>
            <w:szCs w:val="22"/>
            <w:lang w:eastAsia="en-US"/>
          </w:rPr>
          <w:tab/>
        </w:r>
        <w:r w:rsidRPr="004C0B8D">
          <w:rPr>
            <w:rStyle w:val="Hyperlink"/>
          </w:rPr>
          <w:t>Background</w:t>
        </w:r>
        <w:r>
          <w:rPr>
            <w:webHidden/>
          </w:rPr>
          <w:tab/>
        </w:r>
        <w:r>
          <w:rPr>
            <w:webHidden/>
          </w:rPr>
          <w:fldChar w:fldCharType="begin"/>
        </w:r>
        <w:r>
          <w:rPr>
            <w:webHidden/>
          </w:rPr>
          <w:instrText xml:space="preserve"> PAGEREF _Toc5614027 \h </w:instrText>
        </w:r>
        <w:r>
          <w:rPr>
            <w:webHidden/>
          </w:rPr>
          <w:fldChar w:fldCharType="separate"/>
        </w:r>
        <w:r>
          <w:rPr>
            <w:webHidden/>
          </w:rPr>
          <w:t>4</w:t>
        </w:r>
        <w:r>
          <w:rPr>
            <w:webHidden/>
          </w:rPr>
          <w:fldChar w:fldCharType="end"/>
        </w:r>
      </w:hyperlink>
    </w:p>
    <w:p w:rsidR="00173640" w14:paraId="23E66FA7" w14:textId="6B6F385C">
      <w:pPr>
        <w:pStyle w:val="TOC1"/>
        <w:rPr>
          <w:rFonts w:asciiTheme="minorHAnsi" w:eastAsiaTheme="minorEastAsia" w:hAnsiTheme="minorHAnsi" w:cstheme="minorBidi"/>
          <w:bCs w:val="0"/>
          <w:caps w:val="0"/>
          <w:kern w:val="0"/>
          <w:szCs w:val="22"/>
          <w:lang w:eastAsia="en-US"/>
        </w:rPr>
      </w:pPr>
      <w:hyperlink w:anchor="_Toc5614028" w:history="1">
        <w:r w:rsidRPr="004C0B8D">
          <w:rPr>
            <w:rStyle w:val="Hyperlink"/>
          </w:rPr>
          <w:t>III.</w:t>
        </w:r>
        <w:r>
          <w:rPr>
            <w:rFonts w:asciiTheme="minorHAnsi" w:eastAsiaTheme="minorEastAsia" w:hAnsiTheme="minorHAnsi" w:cstheme="minorBidi"/>
            <w:bCs w:val="0"/>
            <w:caps w:val="0"/>
            <w:kern w:val="0"/>
            <w:szCs w:val="22"/>
            <w:lang w:eastAsia="en-US"/>
          </w:rPr>
          <w:tab/>
        </w:r>
        <w:r w:rsidRPr="004C0B8D">
          <w:rPr>
            <w:rStyle w:val="Hyperlink"/>
          </w:rPr>
          <w:t>the 2018 nationwide wea test</w:t>
        </w:r>
        <w:r>
          <w:rPr>
            <w:webHidden/>
          </w:rPr>
          <w:tab/>
        </w:r>
        <w:r>
          <w:rPr>
            <w:webHidden/>
          </w:rPr>
          <w:fldChar w:fldCharType="begin"/>
        </w:r>
        <w:r>
          <w:rPr>
            <w:webHidden/>
          </w:rPr>
          <w:instrText xml:space="preserve"> PAGEREF _Toc5614028 \h </w:instrText>
        </w:r>
        <w:r>
          <w:rPr>
            <w:webHidden/>
          </w:rPr>
          <w:fldChar w:fldCharType="separate"/>
        </w:r>
        <w:r>
          <w:rPr>
            <w:webHidden/>
          </w:rPr>
          <w:t>5</w:t>
        </w:r>
        <w:r>
          <w:rPr>
            <w:webHidden/>
          </w:rPr>
          <w:fldChar w:fldCharType="end"/>
        </w:r>
      </w:hyperlink>
    </w:p>
    <w:p w:rsidR="00173640" w14:paraId="5A563155" w14:textId="1DA7F62C">
      <w:pPr>
        <w:pStyle w:val="TOC2"/>
        <w:rPr>
          <w:rFonts w:asciiTheme="minorHAnsi" w:eastAsiaTheme="minorEastAsia" w:hAnsiTheme="minorHAnsi" w:cstheme="minorBidi"/>
          <w:bCs w:val="0"/>
          <w:kern w:val="0"/>
          <w:szCs w:val="22"/>
          <w:lang w:eastAsia="en-US"/>
        </w:rPr>
      </w:pPr>
      <w:hyperlink w:anchor="_Toc5614029" w:history="1">
        <w:r w:rsidRPr="004C0B8D">
          <w:rPr>
            <w:rStyle w:val="Hyperlink"/>
          </w:rPr>
          <w:t>A.</w:t>
        </w:r>
        <w:r>
          <w:rPr>
            <w:rFonts w:asciiTheme="minorHAnsi" w:eastAsiaTheme="minorEastAsia" w:hAnsiTheme="minorHAnsi" w:cstheme="minorBidi"/>
            <w:bCs w:val="0"/>
            <w:kern w:val="0"/>
            <w:szCs w:val="22"/>
            <w:lang w:eastAsia="en-US"/>
          </w:rPr>
          <w:tab/>
        </w:r>
        <w:r w:rsidRPr="004C0B8D">
          <w:rPr>
            <w:rStyle w:val="Hyperlink"/>
          </w:rPr>
          <w:t>The Parameters of the Nationwide WEA Test</w:t>
        </w:r>
        <w:r>
          <w:rPr>
            <w:webHidden/>
          </w:rPr>
          <w:tab/>
        </w:r>
        <w:r>
          <w:rPr>
            <w:webHidden/>
          </w:rPr>
          <w:fldChar w:fldCharType="begin"/>
        </w:r>
        <w:r>
          <w:rPr>
            <w:webHidden/>
          </w:rPr>
          <w:instrText xml:space="preserve"> PAGEREF _Toc5614029 \h </w:instrText>
        </w:r>
        <w:r>
          <w:rPr>
            <w:webHidden/>
          </w:rPr>
          <w:fldChar w:fldCharType="separate"/>
        </w:r>
        <w:r>
          <w:rPr>
            <w:webHidden/>
          </w:rPr>
          <w:t>5</w:t>
        </w:r>
        <w:r>
          <w:rPr>
            <w:webHidden/>
          </w:rPr>
          <w:fldChar w:fldCharType="end"/>
        </w:r>
      </w:hyperlink>
    </w:p>
    <w:p w:rsidR="00173640" w14:paraId="37AF77A6" w14:textId="770FB857">
      <w:pPr>
        <w:pStyle w:val="TOC2"/>
        <w:rPr>
          <w:rFonts w:asciiTheme="minorHAnsi" w:eastAsiaTheme="minorEastAsia" w:hAnsiTheme="minorHAnsi" w:cstheme="minorBidi"/>
          <w:bCs w:val="0"/>
          <w:kern w:val="0"/>
          <w:szCs w:val="22"/>
          <w:lang w:eastAsia="en-US"/>
        </w:rPr>
      </w:pPr>
      <w:hyperlink w:anchor="_Toc5614030" w:history="1">
        <w:r w:rsidRPr="004C0B8D">
          <w:rPr>
            <w:rStyle w:val="Hyperlink"/>
          </w:rPr>
          <w:t>B.</w:t>
        </w:r>
        <w:r>
          <w:rPr>
            <w:rFonts w:asciiTheme="minorHAnsi" w:eastAsiaTheme="minorEastAsia" w:hAnsiTheme="minorHAnsi" w:cstheme="minorBidi"/>
            <w:bCs w:val="0"/>
            <w:kern w:val="0"/>
            <w:szCs w:val="22"/>
            <w:lang w:eastAsia="en-US"/>
          </w:rPr>
          <w:tab/>
        </w:r>
        <w:r w:rsidRPr="004C0B8D">
          <w:rPr>
            <w:rStyle w:val="Hyperlink"/>
          </w:rPr>
          <w:t>Key Observations from the Nationwide WEA Test</w:t>
        </w:r>
        <w:r>
          <w:rPr>
            <w:webHidden/>
          </w:rPr>
          <w:tab/>
        </w:r>
        <w:r>
          <w:rPr>
            <w:webHidden/>
          </w:rPr>
          <w:fldChar w:fldCharType="begin"/>
        </w:r>
        <w:r>
          <w:rPr>
            <w:webHidden/>
          </w:rPr>
          <w:instrText xml:space="preserve"> PAGEREF _Toc5614030 \h </w:instrText>
        </w:r>
        <w:r>
          <w:rPr>
            <w:webHidden/>
          </w:rPr>
          <w:fldChar w:fldCharType="separate"/>
        </w:r>
        <w:r>
          <w:rPr>
            <w:webHidden/>
          </w:rPr>
          <w:t>6</w:t>
        </w:r>
        <w:r>
          <w:rPr>
            <w:webHidden/>
          </w:rPr>
          <w:fldChar w:fldCharType="end"/>
        </w:r>
      </w:hyperlink>
    </w:p>
    <w:p w:rsidR="00173640" w14:paraId="618DF91D" w14:textId="39BA268A">
      <w:pPr>
        <w:pStyle w:val="TOC1"/>
        <w:rPr>
          <w:rFonts w:asciiTheme="minorHAnsi" w:eastAsiaTheme="minorEastAsia" w:hAnsiTheme="minorHAnsi" w:cstheme="minorBidi"/>
          <w:bCs w:val="0"/>
          <w:caps w:val="0"/>
          <w:kern w:val="0"/>
          <w:szCs w:val="22"/>
          <w:lang w:eastAsia="en-US"/>
        </w:rPr>
      </w:pPr>
      <w:hyperlink w:anchor="_Toc5614031" w:history="1">
        <w:r w:rsidRPr="004C0B8D">
          <w:rPr>
            <w:rStyle w:val="Hyperlink"/>
          </w:rPr>
          <w:t>IV.</w:t>
        </w:r>
        <w:r>
          <w:rPr>
            <w:rFonts w:asciiTheme="minorHAnsi" w:eastAsiaTheme="minorEastAsia" w:hAnsiTheme="minorHAnsi" w:cstheme="minorBidi"/>
            <w:bCs w:val="0"/>
            <w:caps w:val="0"/>
            <w:kern w:val="0"/>
            <w:szCs w:val="22"/>
            <w:lang w:eastAsia="en-US"/>
          </w:rPr>
          <w:tab/>
        </w:r>
        <w:r w:rsidRPr="004C0B8D">
          <w:rPr>
            <w:rStyle w:val="Hyperlink"/>
          </w:rPr>
          <w:t>The 2018 Nationwide EAS Test</w:t>
        </w:r>
        <w:r>
          <w:rPr>
            <w:webHidden/>
          </w:rPr>
          <w:tab/>
        </w:r>
        <w:r>
          <w:rPr>
            <w:webHidden/>
          </w:rPr>
          <w:fldChar w:fldCharType="begin"/>
        </w:r>
        <w:r>
          <w:rPr>
            <w:webHidden/>
          </w:rPr>
          <w:instrText xml:space="preserve"> PAGEREF _Toc5614031 \h </w:instrText>
        </w:r>
        <w:r>
          <w:rPr>
            <w:webHidden/>
          </w:rPr>
          <w:fldChar w:fldCharType="separate"/>
        </w:r>
        <w:r>
          <w:rPr>
            <w:webHidden/>
          </w:rPr>
          <w:t>8</w:t>
        </w:r>
        <w:r>
          <w:rPr>
            <w:webHidden/>
          </w:rPr>
          <w:fldChar w:fldCharType="end"/>
        </w:r>
      </w:hyperlink>
    </w:p>
    <w:p w:rsidR="00173640" w14:paraId="1E9AB743" w14:textId="72327D20">
      <w:pPr>
        <w:pStyle w:val="TOC2"/>
        <w:rPr>
          <w:rFonts w:asciiTheme="minorHAnsi" w:eastAsiaTheme="minorEastAsia" w:hAnsiTheme="minorHAnsi" w:cstheme="minorBidi"/>
          <w:bCs w:val="0"/>
          <w:kern w:val="0"/>
          <w:szCs w:val="22"/>
          <w:lang w:eastAsia="en-US"/>
        </w:rPr>
      </w:pPr>
      <w:hyperlink w:anchor="_Toc5614032" w:history="1">
        <w:r w:rsidRPr="004C0B8D">
          <w:rPr>
            <w:rStyle w:val="Hyperlink"/>
          </w:rPr>
          <w:t>A.</w:t>
        </w:r>
        <w:r>
          <w:rPr>
            <w:rFonts w:asciiTheme="minorHAnsi" w:eastAsiaTheme="minorEastAsia" w:hAnsiTheme="minorHAnsi" w:cstheme="minorBidi"/>
            <w:bCs w:val="0"/>
            <w:kern w:val="0"/>
            <w:szCs w:val="22"/>
            <w:lang w:eastAsia="en-US"/>
          </w:rPr>
          <w:tab/>
        </w:r>
        <w:r w:rsidRPr="004C0B8D">
          <w:rPr>
            <w:rStyle w:val="Hyperlink"/>
          </w:rPr>
          <w:t>The Parameters of the 2018 Nationwide EAS Test</w:t>
        </w:r>
        <w:r>
          <w:rPr>
            <w:webHidden/>
          </w:rPr>
          <w:tab/>
        </w:r>
        <w:r>
          <w:rPr>
            <w:webHidden/>
          </w:rPr>
          <w:fldChar w:fldCharType="begin"/>
        </w:r>
        <w:r>
          <w:rPr>
            <w:webHidden/>
          </w:rPr>
          <w:instrText xml:space="preserve"> PAGEREF _Toc5614032 \h </w:instrText>
        </w:r>
        <w:r>
          <w:rPr>
            <w:webHidden/>
          </w:rPr>
          <w:fldChar w:fldCharType="separate"/>
        </w:r>
        <w:r>
          <w:rPr>
            <w:webHidden/>
          </w:rPr>
          <w:t>8</w:t>
        </w:r>
        <w:r>
          <w:rPr>
            <w:webHidden/>
          </w:rPr>
          <w:fldChar w:fldCharType="end"/>
        </w:r>
      </w:hyperlink>
    </w:p>
    <w:p w:rsidR="00173640" w14:paraId="30754422" w14:textId="33159C41">
      <w:pPr>
        <w:pStyle w:val="TOC2"/>
        <w:rPr>
          <w:rFonts w:asciiTheme="minorHAnsi" w:eastAsiaTheme="minorEastAsia" w:hAnsiTheme="minorHAnsi" w:cstheme="minorBidi"/>
          <w:bCs w:val="0"/>
          <w:kern w:val="0"/>
          <w:szCs w:val="22"/>
          <w:lang w:eastAsia="en-US"/>
        </w:rPr>
      </w:pPr>
      <w:hyperlink w:anchor="_Toc5614033" w:history="1">
        <w:r w:rsidRPr="004C0B8D">
          <w:rPr>
            <w:rStyle w:val="Hyperlink"/>
          </w:rPr>
          <w:t>B.</w:t>
        </w:r>
        <w:r>
          <w:rPr>
            <w:rFonts w:asciiTheme="minorHAnsi" w:eastAsiaTheme="minorEastAsia" w:hAnsiTheme="minorHAnsi" w:cstheme="minorBidi"/>
            <w:bCs w:val="0"/>
            <w:kern w:val="0"/>
            <w:szCs w:val="22"/>
            <w:lang w:eastAsia="en-US"/>
          </w:rPr>
          <w:tab/>
        </w:r>
        <w:r w:rsidRPr="004C0B8D">
          <w:rPr>
            <w:rStyle w:val="Hyperlink"/>
          </w:rPr>
          <w:t>Participation in the Nationwide EAS Test</w:t>
        </w:r>
        <w:r>
          <w:rPr>
            <w:webHidden/>
          </w:rPr>
          <w:tab/>
        </w:r>
        <w:r>
          <w:rPr>
            <w:webHidden/>
          </w:rPr>
          <w:fldChar w:fldCharType="begin"/>
        </w:r>
        <w:r>
          <w:rPr>
            <w:webHidden/>
          </w:rPr>
          <w:instrText xml:space="preserve"> PAGEREF _Toc5614033 \h </w:instrText>
        </w:r>
        <w:r>
          <w:rPr>
            <w:webHidden/>
          </w:rPr>
          <w:fldChar w:fldCharType="separate"/>
        </w:r>
        <w:r>
          <w:rPr>
            <w:webHidden/>
          </w:rPr>
          <w:t>8</w:t>
        </w:r>
        <w:r>
          <w:rPr>
            <w:webHidden/>
          </w:rPr>
          <w:fldChar w:fldCharType="end"/>
        </w:r>
      </w:hyperlink>
    </w:p>
    <w:p w:rsidR="00173640" w14:paraId="1DC38812" w14:textId="361B4D37">
      <w:pPr>
        <w:pStyle w:val="TOC2"/>
        <w:rPr>
          <w:rFonts w:asciiTheme="minorHAnsi" w:eastAsiaTheme="minorEastAsia" w:hAnsiTheme="minorHAnsi" w:cstheme="minorBidi"/>
          <w:bCs w:val="0"/>
          <w:kern w:val="0"/>
          <w:szCs w:val="22"/>
          <w:lang w:eastAsia="en-US"/>
        </w:rPr>
      </w:pPr>
      <w:hyperlink w:anchor="_Toc5614034" w:history="1">
        <w:r w:rsidRPr="004C0B8D">
          <w:rPr>
            <w:rStyle w:val="Hyperlink"/>
          </w:rPr>
          <w:t>C.</w:t>
        </w:r>
        <w:r>
          <w:rPr>
            <w:rFonts w:asciiTheme="minorHAnsi" w:eastAsiaTheme="minorEastAsia" w:hAnsiTheme="minorHAnsi" w:cstheme="minorBidi"/>
            <w:bCs w:val="0"/>
            <w:kern w:val="0"/>
            <w:szCs w:val="22"/>
            <w:lang w:eastAsia="en-US"/>
          </w:rPr>
          <w:tab/>
        </w:r>
        <w:r w:rsidRPr="004C0B8D">
          <w:rPr>
            <w:rStyle w:val="Hyperlink"/>
          </w:rPr>
          <w:t>Participants by EAS Designation</w:t>
        </w:r>
        <w:r>
          <w:rPr>
            <w:webHidden/>
          </w:rPr>
          <w:tab/>
        </w:r>
        <w:r>
          <w:rPr>
            <w:webHidden/>
          </w:rPr>
          <w:fldChar w:fldCharType="begin"/>
        </w:r>
        <w:r>
          <w:rPr>
            <w:webHidden/>
          </w:rPr>
          <w:instrText xml:space="preserve"> PAGEREF _Toc5614034 \h </w:instrText>
        </w:r>
        <w:r>
          <w:rPr>
            <w:webHidden/>
          </w:rPr>
          <w:fldChar w:fldCharType="separate"/>
        </w:r>
        <w:r>
          <w:rPr>
            <w:webHidden/>
          </w:rPr>
          <w:t>13</w:t>
        </w:r>
        <w:r>
          <w:rPr>
            <w:webHidden/>
          </w:rPr>
          <w:fldChar w:fldCharType="end"/>
        </w:r>
      </w:hyperlink>
    </w:p>
    <w:p w:rsidR="00173640" w14:paraId="7147EB75" w14:textId="0D5A9B99">
      <w:pPr>
        <w:pStyle w:val="TOC2"/>
        <w:rPr>
          <w:rFonts w:asciiTheme="minorHAnsi" w:eastAsiaTheme="minorEastAsia" w:hAnsiTheme="minorHAnsi" w:cstheme="minorBidi"/>
          <w:bCs w:val="0"/>
          <w:kern w:val="0"/>
          <w:szCs w:val="22"/>
          <w:lang w:eastAsia="en-US"/>
        </w:rPr>
      </w:pPr>
      <w:hyperlink w:anchor="_Toc5614035" w:history="1">
        <w:r w:rsidRPr="004C0B8D">
          <w:rPr>
            <w:rStyle w:val="Hyperlink"/>
          </w:rPr>
          <w:t>D.</w:t>
        </w:r>
        <w:r>
          <w:rPr>
            <w:rFonts w:asciiTheme="minorHAnsi" w:eastAsiaTheme="minorEastAsia" w:hAnsiTheme="minorHAnsi" w:cstheme="minorBidi"/>
            <w:bCs w:val="0"/>
            <w:kern w:val="0"/>
            <w:szCs w:val="22"/>
            <w:lang w:eastAsia="en-US"/>
          </w:rPr>
          <w:tab/>
        </w:r>
        <w:r w:rsidRPr="004C0B8D">
          <w:rPr>
            <w:rStyle w:val="Hyperlink"/>
          </w:rPr>
          <w:t>EAS Participant Monitoring of IPAWS</w:t>
        </w:r>
        <w:r>
          <w:rPr>
            <w:webHidden/>
          </w:rPr>
          <w:tab/>
        </w:r>
        <w:r>
          <w:rPr>
            <w:webHidden/>
          </w:rPr>
          <w:fldChar w:fldCharType="begin"/>
        </w:r>
        <w:r>
          <w:rPr>
            <w:webHidden/>
          </w:rPr>
          <w:instrText xml:space="preserve"> PAGEREF _Toc5614035 \h </w:instrText>
        </w:r>
        <w:r>
          <w:rPr>
            <w:webHidden/>
          </w:rPr>
          <w:fldChar w:fldCharType="separate"/>
        </w:r>
        <w:r>
          <w:rPr>
            <w:webHidden/>
          </w:rPr>
          <w:t>14</w:t>
        </w:r>
        <w:r>
          <w:rPr>
            <w:webHidden/>
          </w:rPr>
          <w:fldChar w:fldCharType="end"/>
        </w:r>
      </w:hyperlink>
    </w:p>
    <w:p w:rsidR="00173640" w14:paraId="6F20EE4C" w14:textId="719FB625">
      <w:pPr>
        <w:pStyle w:val="TOC2"/>
        <w:rPr>
          <w:rFonts w:asciiTheme="minorHAnsi" w:eastAsiaTheme="minorEastAsia" w:hAnsiTheme="minorHAnsi" w:cstheme="minorBidi"/>
          <w:bCs w:val="0"/>
          <w:kern w:val="0"/>
          <w:szCs w:val="22"/>
          <w:lang w:eastAsia="en-US"/>
        </w:rPr>
      </w:pPr>
      <w:hyperlink w:anchor="_Toc5614036" w:history="1">
        <w:r w:rsidRPr="004C0B8D">
          <w:rPr>
            <w:rStyle w:val="Hyperlink"/>
          </w:rPr>
          <w:t>E.</w:t>
        </w:r>
        <w:r>
          <w:rPr>
            <w:rFonts w:asciiTheme="minorHAnsi" w:eastAsiaTheme="minorEastAsia" w:hAnsiTheme="minorHAnsi" w:cstheme="minorBidi"/>
            <w:bCs w:val="0"/>
            <w:kern w:val="0"/>
            <w:szCs w:val="22"/>
            <w:lang w:eastAsia="en-US"/>
          </w:rPr>
          <w:tab/>
        </w:r>
        <w:r w:rsidRPr="004C0B8D">
          <w:rPr>
            <w:rStyle w:val="Hyperlink"/>
          </w:rPr>
          <w:t>Breakdown of Test Performance by EAS Participant Type</w:t>
        </w:r>
        <w:r>
          <w:rPr>
            <w:webHidden/>
          </w:rPr>
          <w:tab/>
        </w:r>
        <w:r>
          <w:rPr>
            <w:webHidden/>
          </w:rPr>
          <w:fldChar w:fldCharType="begin"/>
        </w:r>
        <w:r>
          <w:rPr>
            <w:webHidden/>
          </w:rPr>
          <w:instrText xml:space="preserve"> PAGEREF _Toc5614036 \h </w:instrText>
        </w:r>
        <w:r>
          <w:rPr>
            <w:webHidden/>
          </w:rPr>
          <w:fldChar w:fldCharType="separate"/>
        </w:r>
        <w:r>
          <w:rPr>
            <w:webHidden/>
          </w:rPr>
          <w:t>15</w:t>
        </w:r>
        <w:r>
          <w:rPr>
            <w:webHidden/>
          </w:rPr>
          <w:fldChar w:fldCharType="end"/>
        </w:r>
      </w:hyperlink>
    </w:p>
    <w:p w:rsidR="00173640" w14:paraId="5D62D11E" w14:textId="06B96EBA">
      <w:pPr>
        <w:pStyle w:val="TOC2"/>
        <w:rPr>
          <w:rFonts w:asciiTheme="minorHAnsi" w:eastAsiaTheme="minorEastAsia" w:hAnsiTheme="minorHAnsi" w:cstheme="minorBidi"/>
          <w:bCs w:val="0"/>
          <w:kern w:val="0"/>
          <w:szCs w:val="22"/>
          <w:lang w:eastAsia="en-US"/>
        </w:rPr>
      </w:pPr>
      <w:hyperlink w:anchor="_Toc5614037" w:history="1">
        <w:r w:rsidRPr="004C0B8D">
          <w:rPr>
            <w:rStyle w:val="Hyperlink"/>
          </w:rPr>
          <w:t>F.</w:t>
        </w:r>
        <w:r>
          <w:rPr>
            <w:rFonts w:asciiTheme="minorHAnsi" w:eastAsiaTheme="minorEastAsia" w:hAnsiTheme="minorHAnsi" w:cstheme="minorBidi"/>
            <w:bCs w:val="0"/>
            <w:kern w:val="0"/>
            <w:szCs w:val="22"/>
            <w:lang w:eastAsia="en-US"/>
          </w:rPr>
          <w:tab/>
        </w:r>
        <w:r w:rsidRPr="004C0B8D">
          <w:rPr>
            <w:rStyle w:val="Hyperlink"/>
          </w:rPr>
          <w:t>Source of Alert</w:t>
        </w:r>
        <w:r>
          <w:rPr>
            <w:webHidden/>
          </w:rPr>
          <w:tab/>
        </w:r>
        <w:r>
          <w:rPr>
            <w:webHidden/>
          </w:rPr>
          <w:fldChar w:fldCharType="begin"/>
        </w:r>
        <w:r>
          <w:rPr>
            <w:webHidden/>
          </w:rPr>
          <w:instrText xml:space="preserve"> PAGEREF _Toc5614037 \h </w:instrText>
        </w:r>
        <w:r>
          <w:rPr>
            <w:webHidden/>
          </w:rPr>
          <w:fldChar w:fldCharType="separate"/>
        </w:r>
        <w:r>
          <w:rPr>
            <w:webHidden/>
          </w:rPr>
          <w:t>16</w:t>
        </w:r>
        <w:r>
          <w:rPr>
            <w:webHidden/>
          </w:rPr>
          <w:fldChar w:fldCharType="end"/>
        </w:r>
      </w:hyperlink>
    </w:p>
    <w:p w:rsidR="00173640" w14:paraId="32FD6150" w14:textId="2D0A6A75">
      <w:pPr>
        <w:pStyle w:val="TOC2"/>
        <w:rPr>
          <w:rFonts w:asciiTheme="minorHAnsi" w:eastAsiaTheme="minorEastAsia" w:hAnsiTheme="minorHAnsi" w:cstheme="minorBidi"/>
          <w:bCs w:val="0"/>
          <w:kern w:val="0"/>
          <w:szCs w:val="22"/>
          <w:lang w:eastAsia="en-US"/>
        </w:rPr>
      </w:pPr>
      <w:hyperlink w:anchor="_Toc5614038" w:history="1">
        <w:r w:rsidRPr="004C0B8D">
          <w:rPr>
            <w:rStyle w:val="Hyperlink"/>
          </w:rPr>
          <w:t>G.</w:t>
        </w:r>
        <w:r>
          <w:rPr>
            <w:rFonts w:asciiTheme="minorHAnsi" w:eastAsiaTheme="minorEastAsia" w:hAnsiTheme="minorHAnsi" w:cstheme="minorBidi"/>
            <w:bCs w:val="0"/>
            <w:kern w:val="0"/>
            <w:szCs w:val="22"/>
            <w:lang w:eastAsia="en-US"/>
          </w:rPr>
          <w:tab/>
        </w:r>
        <w:r w:rsidRPr="004C0B8D">
          <w:rPr>
            <w:rStyle w:val="Hyperlink"/>
          </w:rPr>
          <w:t>Language of Alert</w:t>
        </w:r>
        <w:r>
          <w:rPr>
            <w:webHidden/>
          </w:rPr>
          <w:tab/>
        </w:r>
        <w:r>
          <w:rPr>
            <w:webHidden/>
          </w:rPr>
          <w:fldChar w:fldCharType="begin"/>
        </w:r>
        <w:r>
          <w:rPr>
            <w:webHidden/>
          </w:rPr>
          <w:instrText xml:space="preserve"> PAGEREF _Toc5614038 \h </w:instrText>
        </w:r>
        <w:r>
          <w:rPr>
            <w:webHidden/>
          </w:rPr>
          <w:fldChar w:fldCharType="separate"/>
        </w:r>
        <w:r>
          <w:rPr>
            <w:webHidden/>
          </w:rPr>
          <w:t>17</w:t>
        </w:r>
        <w:r>
          <w:rPr>
            <w:webHidden/>
          </w:rPr>
          <w:fldChar w:fldCharType="end"/>
        </w:r>
      </w:hyperlink>
    </w:p>
    <w:p w:rsidR="00173640" w14:paraId="3D8B05BE" w14:textId="7AD99377">
      <w:pPr>
        <w:pStyle w:val="TOC1"/>
        <w:rPr>
          <w:rFonts w:asciiTheme="minorHAnsi" w:eastAsiaTheme="minorEastAsia" w:hAnsiTheme="minorHAnsi" w:cstheme="minorBidi"/>
          <w:bCs w:val="0"/>
          <w:caps w:val="0"/>
          <w:kern w:val="0"/>
          <w:szCs w:val="22"/>
          <w:lang w:eastAsia="en-US"/>
        </w:rPr>
      </w:pPr>
      <w:hyperlink w:anchor="_Toc5614039" w:history="1">
        <w:r w:rsidRPr="004C0B8D">
          <w:rPr>
            <w:rStyle w:val="Hyperlink"/>
          </w:rPr>
          <w:t>V.</w:t>
        </w:r>
        <w:r>
          <w:rPr>
            <w:rFonts w:asciiTheme="minorHAnsi" w:eastAsiaTheme="minorEastAsia" w:hAnsiTheme="minorHAnsi" w:cstheme="minorBidi"/>
            <w:bCs w:val="0"/>
            <w:caps w:val="0"/>
            <w:kern w:val="0"/>
            <w:szCs w:val="22"/>
            <w:lang w:eastAsia="en-US"/>
          </w:rPr>
          <w:tab/>
        </w:r>
        <w:r w:rsidRPr="004C0B8D">
          <w:rPr>
            <w:rStyle w:val="Hyperlink"/>
          </w:rPr>
          <w:t>ANALYSIS OF MOST SIGNIFICANT ISSUES</w:t>
        </w:r>
        <w:r>
          <w:rPr>
            <w:webHidden/>
          </w:rPr>
          <w:tab/>
        </w:r>
        <w:r>
          <w:rPr>
            <w:webHidden/>
          </w:rPr>
          <w:fldChar w:fldCharType="begin"/>
        </w:r>
        <w:r>
          <w:rPr>
            <w:webHidden/>
          </w:rPr>
          <w:instrText xml:space="preserve"> PAGEREF _Toc5614039 \h </w:instrText>
        </w:r>
        <w:r>
          <w:rPr>
            <w:webHidden/>
          </w:rPr>
          <w:fldChar w:fldCharType="separate"/>
        </w:r>
        <w:r>
          <w:rPr>
            <w:webHidden/>
          </w:rPr>
          <w:t>18</w:t>
        </w:r>
        <w:r>
          <w:rPr>
            <w:webHidden/>
          </w:rPr>
          <w:fldChar w:fldCharType="end"/>
        </w:r>
      </w:hyperlink>
    </w:p>
    <w:p w:rsidR="00173640" w14:paraId="19680F09" w14:textId="740010AE">
      <w:pPr>
        <w:pStyle w:val="TOC2"/>
        <w:rPr>
          <w:rFonts w:asciiTheme="minorHAnsi" w:eastAsiaTheme="minorEastAsia" w:hAnsiTheme="minorHAnsi" w:cstheme="minorBidi"/>
          <w:bCs w:val="0"/>
          <w:kern w:val="0"/>
          <w:szCs w:val="22"/>
          <w:lang w:eastAsia="en-US"/>
        </w:rPr>
      </w:pPr>
      <w:hyperlink w:anchor="_Toc5614040" w:history="1">
        <w:r w:rsidRPr="004C0B8D">
          <w:rPr>
            <w:rStyle w:val="Hyperlink"/>
          </w:rPr>
          <w:t>A.</w:t>
        </w:r>
        <w:r>
          <w:rPr>
            <w:rFonts w:asciiTheme="minorHAnsi" w:eastAsiaTheme="minorEastAsia" w:hAnsiTheme="minorHAnsi" w:cstheme="minorBidi"/>
            <w:bCs w:val="0"/>
            <w:kern w:val="0"/>
            <w:szCs w:val="22"/>
            <w:lang w:eastAsia="en-US"/>
          </w:rPr>
          <w:tab/>
        </w:r>
        <w:r w:rsidRPr="004C0B8D">
          <w:rPr>
            <w:rStyle w:val="Hyperlink"/>
          </w:rPr>
          <w:t>The Nationwide WEA Test</w:t>
        </w:r>
        <w:r>
          <w:rPr>
            <w:webHidden/>
          </w:rPr>
          <w:tab/>
        </w:r>
        <w:r>
          <w:rPr>
            <w:webHidden/>
          </w:rPr>
          <w:fldChar w:fldCharType="begin"/>
        </w:r>
        <w:r>
          <w:rPr>
            <w:webHidden/>
          </w:rPr>
          <w:instrText xml:space="preserve"> PAGEREF _Toc5614040 \h </w:instrText>
        </w:r>
        <w:r>
          <w:rPr>
            <w:webHidden/>
          </w:rPr>
          <w:fldChar w:fldCharType="separate"/>
        </w:r>
        <w:r>
          <w:rPr>
            <w:webHidden/>
          </w:rPr>
          <w:t>18</w:t>
        </w:r>
        <w:r>
          <w:rPr>
            <w:webHidden/>
          </w:rPr>
          <w:fldChar w:fldCharType="end"/>
        </w:r>
      </w:hyperlink>
    </w:p>
    <w:p w:rsidR="00173640" w14:paraId="48158AE9" w14:textId="45C0EA34">
      <w:pPr>
        <w:pStyle w:val="TOC3"/>
        <w:rPr>
          <w:rFonts w:asciiTheme="minorHAnsi" w:eastAsiaTheme="minorEastAsia" w:hAnsiTheme="minorHAnsi" w:cstheme="minorBidi"/>
          <w:bCs w:val="0"/>
          <w:kern w:val="0"/>
          <w:szCs w:val="22"/>
          <w:lang w:eastAsia="en-US"/>
        </w:rPr>
      </w:pPr>
      <w:hyperlink w:anchor="_Toc5614041" w:history="1">
        <w:r w:rsidRPr="004C0B8D">
          <w:rPr>
            <w:rStyle w:val="Hyperlink"/>
          </w:rPr>
          <w:t>1.</w:t>
        </w:r>
        <w:r>
          <w:rPr>
            <w:rFonts w:asciiTheme="minorHAnsi" w:eastAsiaTheme="minorEastAsia" w:hAnsiTheme="minorHAnsi" w:cstheme="minorBidi"/>
            <w:bCs w:val="0"/>
            <w:kern w:val="0"/>
            <w:szCs w:val="22"/>
            <w:lang w:eastAsia="en-US"/>
          </w:rPr>
          <w:tab/>
        </w:r>
        <w:r w:rsidRPr="004C0B8D">
          <w:rPr>
            <w:rStyle w:val="Hyperlink"/>
          </w:rPr>
          <w:t>Inconsistent Delivery Reports</w:t>
        </w:r>
        <w:r>
          <w:rPr>
            <w:webHidden/>
          </w:rPr>
          <w:tab/>
        </w:r>
        <w:r>
          <w:rPr>
            <w:webHidden/>
          </w:rPr>
          <w:fldChar w:fldCharType="begin"/>
        </w:r>
        <w:r>
          <w:rPr>
            <w:webHidden/>
          </w:rPr>
          <w:instrText xml:space="preserve"> PAGEREF _Toc5614041 \h </w:instrText>
        </w:r>
        <w:r>
          <w:rPr>
            <w:webHidden/>
          </w:rPr>
          <w:fldChar w:fldCharType="separate"/>
        </w:r>
        <w:r>
          <w:rPr>
            <w:webHidden/>
          </w:rPr>
          <w:t>18</w:t>
        </w:r>
        <w:r>
          <w:rPr>
            <w:webHidden/>
          </w:rPr>
          <w:fldChar w:fldCharType="end"/>
        </w:r>
      </w:hyperlink>
    </w:p>
    <w:p w:rsidR="00173640" w14:paraId="7D7EE0C9" w14:textId="34941050">
      <w:pPr>
        <w:pStyle w:val="TOC3"/>
        <w:rPr>
          <w:rFonts w:asciiTheme="minorHAnsi" w:eastAsiaTheme="minorEastAsia" w:hAnsiTheme="minorHAnsi" w:cstheme="minorBidi"/>
          <w:bCs w:val="0"/>
          <w:kern w:val="0"/>
          <w:szCs w:val="22"/>
          <w:lang w:eastAsia="en-US"/>
        </w:rPr>
      </w:pPr>
      <w:hyperlink w:anchor="_Toc5614042" w:history="1">
        <w:r w:rsidRPr="004C0B8D">
          <w:rPr>
            <w:rStyle w:val="Hyperlink"/>
          </w:rPr>
          <w:t>2.</w:t>
        </w:r>
        <w:r>
          <w:rPr>
            <w:rFonts w:asciiTheme="minorHAnsi" w:eastAsiaTheme="minorEastAsia" w:hAnsiTheme="minorHAnsi" w:cstheme="minorBidi"/>
            <w:bCs w:val="0"/>
            <w:kern w:val="0"/>
            <w:szCs w:val="22"/>
            <w:lang w:eastAsia="en-US"/>
          </w:rPr>
          <w:tab/>
        </w:r>
        <w:r w:rsidRPr="004C0B8D">
          <w:rPr>
            <w:rStyle w:val="Hyperlink"/>
          </w:rPr>
          <w:t>Duplicate Messages</w:t>
        </w:r>
        <w:r>
          <w:rPr>
            <w:webHidden/>
          </w:rPr>
          <w:tab/>
        </w:r>
        <w:r>
          <w:rPr>
            <w:webHidden/>
          </w:rPr>
          <w:fldChar w:fldCharType="begin"/>
        </w:r>
        <w:r>
          <w:rPr>
            <w:webHidden/>
          </w:rPr>
          <w:instrText xml:space="preserve"> PAGEREF _Toc5614042 \h </w:instrText>
        </w:r>
        <w:r>
          <w:rPr>
            <w:webHidden/>
          </w:rPr>
          <w:fldChar w:fldCharType="separate"/>
        </w:r>
        <w:r>
          <w:rPr>
            <w:webHidden/>
          </w:rPr>
          <w:t>19</w:t>
        </w:r>
        <w:r>
          <w:rPr>
            <w:webHidden/>
          </w:rPr>
          <w:fldChar w:fldCharType="end"/>
        </w:r>
      </w:hyperlink>
    </w:p>
    <w:p w:rsidR="00173640" w14:paraId="07827E8D" w14:textId="798641B8">
      <w:pPr>
        <w:pStyle w:val="TOC3"/>
        <w:rPr>
          <w:rFonts w:asciiTheme="minorHAnsi" w:eastAsiaTheme="minorEastAsia" w:hAnsiTheme="minorHAnsi" w:cstheme="minorBidi"/>
          <w:bCs w:val="0"/>
          <w:kern w:val="0"/>
          <w:szCs w:val="22"/>
          <w:lang w:eastAsia="en-US"/>
        </w:rPr>
      </w:pPr>
      <w:hyperlink w:anchor="_Toc5614043" w:history="1">
        <w:r w:rsidRPr="004C0B8D">
          <w:rPr>
            <w:rStyle w:val="Hyperlink"/>
          </w:rPr>
          <w:t>3.</w:t>
        </w:r>
        <w:r>
          <w:rPr>
            <w:rFonts w:asciiTheme="minorHAnsi" w:eastAsiaTheme="minorEastAsia" w:hAnsiTheme="minorHAnsi" w:cstheme="minorBidi"/>
            <w:bCs w:val="0"/>
            <w:kern w:val="0"/>
            <w:szCs w:val="22"/>
            <w:lang w:eastAsia="en-US"/>
          </w:rPr>
          <w:tab/>
        </w:r>
        <w:r w:rsidRPr="004C0B8D">
          <w:rPr>
            <w:rStyle w:val="Hyperlink"/>
          </w:rPr>
          <w:t>Audio and Vibration Cadence Issues</w:t>
        </w:r>
        <w:r>
          <w:rPr>
            <w:webHidden/>
          </w:rPr>
          <w:tab/>
        </w:r>
        <w:r>
          <w:rPr>
            <w:webHidden/>
          </w:rPr>
          <w:fldChar w:fldCharType="begin"/>
        </w:r>
        <w:r>
          <w:rPr>
            <w:webHidden/>
          </w:rPr>
          <w:instrText xml:space="preserve"> PAGEREF _Toc5614043 \h </w:instrText>
        </w:r>
        <w:r>
          <w:rPr>
            <w:webHidden/>
          </w:rPr>
          <w:fldChar w:fldCharType="separate"/>
        </w:r>
        <w:r>
          <w:rPr>
            <w:webHidden/>
          </w:rPr>
          <w:t>19</w:t>
        </w:r>
        <w:r>
          <w:rPr>
            <w:webHidden/>
          </w:rPr>
          <w:fldChar w:fldCharType="end"/>
        </w:r>
      </w:hyperlink>
    </w:p>
    <w:p w:rsidR="00173640" w14:paraId="343DA0B2" w14:textId="3BF9266B">
      <w:pPr>
        <w:pStyle w:val="TOC3"/>
        <w:rPr>
          <w:rFonts w:asciiTheme="minorHAnsi" w:eastAsiaTheme="minorEastAsia" w:hAnsiTheme="minorHAnsi" w:cstheme="minorBidi"/>
          <w:bCs w:val="0"/>
          <w:kern w:val="0"/>
          <w:szCs w:val="22"/>
          <w:lang w:eastAsia="en-US"/>
        </w:rPr>
      </w:pPr>
      <w:hyperlink w:anchor="_Toc5614044" w:history="1">
        <w:r w:rsidRPr="004C0B8D">
          <w:rPr>
            <w:rStyle w:val="Hyperlink"/>
          </w:rPr>
          <w:t>4.</w:t>
        </w:r>
        <w:r>
          <w:rPr>
            <w:rFonts w:asciiTheme="minorHAnsi" w:eastAsiaTheme="minorEastAsia" w:hAnsiTheme="minorHAnsi" w:cstheme="minorBidi"/>
            <w:bCs w:val="0"/>
            <w:kern w:val="0"/>
            <w:szCs w:val="22"/>
            <w:lang w:eastAsia="en-US"/>
          </w:rPr>
          <w:tab/>
        </w:r>
        <w:r w:rsidRPr="004C0B8D">
          <w:rPr>
            <w:rStyle w:val="Hyperlink"/>
          </w:rPr>
          <w:t>Accessibility Issues</w:t>
        </w:r>
        <w:r>
          <w:rPr>
            <w:webHidden/>
          </w:rPr>
          <w:tab/>
        </w:r>
        <w:r>
          <w:rPr>
            <w:webHidden/>
          </w:rPr>
          <w:fldChar w:fldCharType="begin"/>
        </w:r>
        <w:r>
          <w:rPr>
            <w:webHidden/>
          </w:rPr>
          <w:instrText xml:space="preserve"> PAGEREF _Toc5614044 \h </w:instrText>
        </w:r>
        <w:r>
          <w:rPr>
            <w:webHidden/>
          </w:rPr>
          <w:fldChar w:fldCharType="separate"/>
        </w:r>
        <w:r>
          <w:rPr>
            <w:webHidden/>
          </w:rPr>
          <w:t>20</w:t>
        </w:r>
        <w:r>
          <w:rPr>
            <w:webHidden/>
          </w:rPr>
          <w:fldChar w:fldCharType="end"/>
        </w:r>
      </w:hyperlink>
    </w:p>
    <w:p w:rsidR="00173640" w14:paraId="3B4A8C5B" w14:textId="509D5BF0">
      <w:pPr>
        <w:pStyle w:val="TOC2"/>
        <w:rPr>
          <w:rFonts w:asciiTheme="minorHAnsi" w:eastAsiaTheme="minorEastAsia" w:hAnsiTheme="minorHAnsi" w:cstheme="minorBidi"/>
          <w:bCs w:val="0"/>
          <w:kern w:val="0"/>
          <w:szCs w:val="22"/>
          <w:lang w:eastAsia="en-US"/>
        </w:rPr>
      </w:pPr>
      <w:hyperlink w:anchor="_Toc5614045" w:history="1">
        <w:r w:rsidRPr="004C0B8D">
          <w:rPr>
            <w:rStyle w:val="Hyperlink"/>
          </w:rPr>
          <w:t>B.</w:t>
        </w:r>
        <w:r>
          <w:rPr>
            <w:rFonts w:asciiTheme="minorHAnsi" w:eastAsiaTheme="minorEastAsia" w:hAnsiTheme="minorHAnsi" w:cstheme="minorBidi"/>
            <w:bCs w:val="0"/>
            <w:kern w:val="0"/>
            <w:szCs w:val="22"/>
            <w:lang w:eastAsia="en-US"/>
          </w:rPr>
          <w:tab/>
        </w:r>
        <w:r w:rsidRPr="004C0B8D">
          <w:rPr>
            <w:rStyle w:val="Hyperlink"/>
          </w:rPr>
          <w:t>The Nationwide EAS Test</w:t>
        </w:r>
        <w:r>
          <w:rPr>
            <w:webHidden/>
          </w:rPr>
          <w:tab/>
        </w:r>
        <w:r>
          <w:rPr>
            <w:webHidden/>
          </w:rPr>
          <w:fldChar w:fldCharType="begin"/>
        </w:r>
        <w:r>
          <w:rPr>
            <w:webHidden/>
          </w:rPr>
          <w:instrText xml:space="preserve"> PAGEREF _Toc5614045 \h </w:instrText>
        </w:r>
        <w:r>
          <w:rPr>
            <w:webHidden/>
          </w:rPr>
          <w:fldChar w:fldCharType="separate"/>
        </w:r>
        <w:r>
          <w:rPr>
            <w:webHidden/>
          </w:rPr>
          <w:t>20</w:t>
        </w:r>
        <w:r>
          <w:rPr>
            <w:webHidden/>
          </w:rPr>
          <w:fldChar w:fldCharType="end"/>
        </w:r>
      </w:hyperlink>
    </w:p>
    <w:p w:rsidR="00173640" w14:paraId="35F741AC" w14:textId="14927715">
      <w:pPr>
        <w:pStyle w:val="TOC3"/>
        <w:rPr>
          <w:rFonts w:asciiTheme="minorHAnsi" w:eastAsiaTheme="minorEastAsia" w:hAnsiTheme="minorHAnsi" w:cstheme="minorBidi"/>
          <w:bCs w:val="0"/>
          <w:kern w:val="0"/>
          <w:szCs w:val="22"/>
          <w:lang w:eastAsia="en-US"/>
        </w:rPr>
      </w:pPr>
      <w:hyperlink w:anchor="_Toc5614046" w:history="1">
        <w:r w:rsidRPr="004C0B8D">
          <w:rPr>
            <w:rStyle w:val="Hyperlink"/>
          </w:rPr>
          <w:t>1.</w:t>
        </w:r>
        <w:r>
          <w:rPr>
            <w:rFonts w:asciiTheme="minorHAnsi" w:eastAsiaTheme="minorEastAsia" w:hAnsiTheme="minorHAnsi" w:cstheme="minorBidi"/>
            <w:bCs w:val="0"/>
            <w:kern w:val="0"/>
            <w:szCs w:val="22"/>
            <w:lang w:eastAsia="en-US"/>
          </w:rPr>
          <w:tab/>
        </w:r>
        <w:r w:rsidRPr="004C0B8D">
          <w:rPr>
            <w:rStyle w:val="Hyperlink"/>
          </w:rPr>
          <w:t>Equipment Performance Issues</w:t>
        </w:r>
        <w:r>
          <w:rPr>
            <w:webHidden/>
          </w:rPr>
          <w:tab/>
        </w:r>
        <w:r>
          <w:rPr>
            <w:webHidden/>
          </w:rPr>
          <w:fldChar w:fldCharType="begin"/>
        </w:r>
        <w:r>
          <w:rPr>
            <w:webHidden/>
          </w:rPr>
          <w:instrText xml:space="preserve"> PAGEREF _Toc5614046 \h </w:instrText>
        </w:r>
        <w:r>
          <w:rPr>
            <w:webHidden/>
          </w:rPr>
          <w:fldChar w:fldCharType="separate"/>
        </w:r>
        <w:r>
          <w:rPr>
            <w:webHidden/>
          </w:rPr>
          <w:t>21</w:t>
        </w:r>
        <w:r>
          <w:rPr>
            <w:webHidden/>
          </w:rPr>
          <w:fldChar w:fldCharType="end"/>
        </w:r>
      </w:hyperlink>
    </w:p>
    <w:p w:rsidR="00173640" w14:paraId="699F2951" w14:textId="4A7E82C8">
      <w:pPr>
        <w:pStyle w:val="TOC3"/>
        <w:rPr>
          <w:rFonts w:asciiTheme="minorHAnsi" w:eastAsiaTheme="minorEastAsia" w:hAnsiTheme="minorHAnsi" w:cstheme="minorBidi"/>
          <w:bCs w:val="0"/>
          <w:kern w:val="0"/>
          <w:szCs w:val="22"/>
          <w:lang w:eastAsia="en-US"/>
        </w:rPr>
      </w:pPr>
      <w:hyperlink w:anchor="_Toc5614047" w:history="1">
        <w:r w:rsidRPr="004C0B8D">
          <w:rPr>
            <w:rStyle w:val="Hyperlink"/>
          </w:rPr>
          <w:t>2.</w:t>
        </w:r>
        <w:r>
          <w:rPr>
            <w:rFonts w:asciiTheme="minorHAnsi" w:eastAsiaTheme="minorEastAsia" w:hAnsiTheme="minorHAnsi" w:cstheme="minorBidi"/>
            <w:bCs w:val="0"/>
            <w:kern w:val="0"/>
            <w:szCs w:val="22"/>
            <w:lang w:eastAsia="en-US"/>
          </w:rPr>
          <w:tab/>
        </w:r>
        <w:r w:rsidRPr="004C0B8D">
          <w:rPr>
            <w:rStyle w:val="Hyperlink"/>
          </w:rPr>
          <w:t>Equipment Configuration</w:t>
        </w:r>
        <w:r>
          <w:rPr>
            <w:webHidden/>
          </w:rPr>
          <w:tab/>
        </w:r>
        <w:r>
          <w:rPr>
            <w:webHidden/>
          </w:rPr>
          <w:fldChar w:fldCharType="begin"/>
        </w:r>
        <w:r>
          <w:rPr>
            <w:webHidden/>
          </w:rPr>
          <w:instrText xml:space="preserve"> PAGEREF _Toc5614047 \h </w:instrText>
        </w:r>
        <w:r>
          <w:rPr>
            <w:webHidden/>
          </w:rPr>
          <w:fldChar w:fldCharType="separate"/>
        </w:r>
        <w:r>
          <w:rPr>
            <w:webHidden/>
          </w:rPr>
          <w:t>21</w:t>
        </w:r>
        <w:r>
          <w:rPr>
            <w:webHidden/>
          </w:rPr>
          <w:fldChar w:fldCharType="end"/>
        </w:r>
      </w:hyperlink>
    </w:p>
    <w:p w:rsidR="00173640" w14:paraId="1A00ED5B" w14:textId="332256FA">
      <w:pPr>
        <w:pStyle w:val="TOC3"/>
        <w:rPr>
          <w:rFonts w:asciiTheme="minorHAnsi" w:eastAsiaTheme="minorEastAsia" w:hAnsiTheme="minorHAnsi" w:cstheme="minorBidi"/>
          <w:bCs w:val="0"/>
          <w:kern w:val="0"/>
          <w:szCs w:val="22"/>
          <w:lang w:eastAsia="en-US"/>
        </w:rPr>
      </w:pPr>
      <w:hyperlink w:anchor="_Toc5614048" w:history="1">
        <w:r w:rsidRPr="004C0B8D">
          <w:rPr>
            <w:rStyle w:val="Hyperlink"/>
          </w:rPr>
          <w:t>3.</w:t>
        </w:r>
        <w:r>
          <w:rPr>
            <w:rFonts w:asciiTheme="minorHAnsi" w:eastAsiaTheme="minorEastAsia" w:hAnsiTheme="minorHAnsi" w:cstheme="minorBidi"/>
            <w:bCs w:val="0"/>
            <w:kern w:val="0"/>
            <w:szCs w:val="22"/>
            <w:lang w:eastAsia="en-US"/>
          </w:rPr>
          <w:tab/>
        </w:r>
        <w:r w:rsidRPr="004C0B8D">
          <w:rPr>
            <w:rStyle w:val="Hyperlink"/>
          </w:rPr>
          <w:t>Failure to Update Software</w:t>
        </w:r>
        <w:r>
          <w:rPr>
            <w:webHidden/>
          </w:rPr>
          <w:tab/>
        </w:r>
        <w:r>
          <w:rPr>
            <w:webHidden/>
          </w:rPr>
          <w:fldChar w:fldCharType="begin"/>
        </w:r>
        <w:r>
          <w:rPr>
            <w:webHidden/>
          </w:rPr>
          <w:instrText xml:space="preserve"> PAGEREF _Toc5614048 \h </w:instrText>
        </w:r>
        <w:r>
          <w:rPr>
            <w:webHidden/>
          </w:rPr>
          <w:fldChar w:fldCharType="separate"/>
        </w:r>
        <w:r>
          <w:rPr>
            <w:webHidden/>
          </w:rPr>
          <w:t>22</w:t>
        </w:r>
        <w:r>
          <w:rPr>
            <w:webHidden/>
          </w:rPr>
          <w:fldChar w:fldCharType="end"/>
        </w:r>
      </w:hyperlink>
    </w:p>
    <w:p w:rsidR="00173640" w14:paraId="309E893C" w14:textId="407B3B93">
      <w:pPr>
        <w:pStyle w:val="TOC3"/>
        <w:rPr>
          <w:rFonts w:asciiTheme="minorHAnsi" w:eastAsiaTheme="minorEastAsia" w:hAnsiTheme="minorHAnsi" w:cstheme="minorBidi"/>
          <w:bCs w:val="0"/>
          <w:kern w:val="0"/>
          <w:szCs w:val="22"/>
          <w:lang w:eastAsia="en-US"/>
        </w:rPr>
      </w:pPr>
      <w:hyperlink w:anchor="_Toc5614049" w:history="1">
        <w:r w:rsidRPr="004C0B8D">
          <w:rPr>
            <w:rStyle w:val="Hyperlink"/>
          </w:rPr>
          <w:t>4.</w:t>
        </w:r>
        <w:r>
          <w:rPr>
            <w:rFonts w:asciiTheme="minorHAnsi" w:eastAsiaTheme="minorEastAsia" w:hAnsiTheme="minorHAnsi" w:cstheme="minorBidi"/>
            <w:bCs w:val="0"/>
            <w:kern w:val="0"/>
            <w:szCs w:val="22"/>
            <w:lang w:eastAsia="en-US"/>
          </w:rPr>
          <w:tab/>
        </w:r>
        <w:r w:rsidRPr="004C0B8D">
          <w:rPr>
            <w:rStyle w:val="Hyperlink"/>
          </w:rPr>
          <w:t>Alert Source Issues</w:t>
        </w:r>
        <w:r>
          <w:rPr>
            <w:webHidden/>
          </w:rPr>
          <w:tab/>
        </w:r>
        <w:r>
          <w:rPr>
            <w:webHidden/>
          </w:rPr>
          <w:fldChar w:fldCharType="begin"/>
        </w:r>
        <w:r>
          <w:rPr>
            <w:webHidden/>
          </w:rPr>
          <w:instrText xml:space="preserve"> PAGEREF _Toc5614049 \h </w:instrText>
        </w:r>
        <w:r>
          <w:rPr>
            <w:webHidden/>
          </w:rPr>
          <w:fldChar w:fldCharType="separate"/>
        </w:r>
        <w:r>
          <w:rPr>
            <w:webHidden/>
          </w:rPr>
          <w:t>22</w:t>
        </w:r>
        <w:r>
          <w:rPr>
            <w:webHidden/>
          </w:rPr>
          <w:fldChar w:fldCharType="end"/>
        </w:r>
      </w:hyperlink>
    </w:p>
    <w:p w:rsidR="00173640" w14:paraId="4D03A015" w14:textId="4B0B1CCD">
      <w:pPr>
        <w:pStyle w:val="TOC3"/>
        <w:rPr>
          <w:rFonts w:asciiTheme="minorHAnsi" w:eastAsiaTheme="minorEastAsia" w:hAnsiTheme="minorHAnsi" w:cstheme="minorBidi"/>
          <w:bCs w:val="0"/>
          <w:kern w:val="0"/>
          <w:szCs w:val="22"/>
          <w:lang w:eastAsia="en-US"/>
        </w:rPr>
      </w:pPr>
      <w:hyperlink w:anchor="_Toc5614050" w:history="1">
        <w:r w:rsidRPr="004C0B8D">
          <w:rPr>
            <w:rStyle w:val="Hyperlink"/>
          </w:rPr>
          <w:t>5.</w:t>
        </w:r>
        <w:r>
          <w:rPr>
            <w:rFonts w:asciiTheme="minorHAnsi" w:eastAsiaTheme="minorEastAsia" w:hAnsiTheme="minorHAnsi" w:cstheme="minorBidi"/>
            <w:bCs w:val="0"/>
            <w:kern w:val="0"/>
            <w:szCs w:val="22"/>
            <w:lang w:eastAsia="en-US"/>
          </w:rPr>
          <w:tab/>
        </w:r>
        <w:r w:rsidRPr="004C0B8D">
          <w:rPr>
            <w:rStyle w:val="Hyperlink"/>
          </w:rPr>
          <w:t>Audio Issues</w:t>
        </w:r>
        <w:r>
          <w:rPr>
            <w:webHidden/>
          </w:rPr>
          <w:tab/>
        </w:r>
        <w:r>
          <w:rPr>
            <w:webHidden/>
          </w:rPr>
          <w:fldChar w:fldCharType="begin"/>
        </w:r>
        <w:r>
          <w:rPr>
            <w:webHidden/>
          </w:rPr>
          <w:instrText xml:space="preserve"> PAGEREF _Toc5614050 \h </w:instrText>
        </w:r>
        <w:r>
          <w:rPr>
            <w:webHidden/>
          </w:rPr>
          <w:fldChar w:fldCharType="separate"/>
        </w:r>
        <w:r>
          <w:rPr>
            <w:webHidden/>
          </w:rPr>
          <w:t>22</w:t>
        </w:r>
        <w:r>
          <w:rPr>
            <w:webHidden/>
          </w:rPr>
          <w:fldChar w:fldCharType="end"/>
        </w:r>
      </w:hyperlink>
    </w:p>
    <w:p w:rsidR="00173640" w14:paraId="1F2124F1" w14:textId="3A5B91C1">
      <w:pPr>
        <w:pStyle w:val="TOC3"/>
        <w:rPr>
          <w:rFonts w:asciiTheme="minorHAnsi" w:eastAsiaTheme="minorEastAsia" w:hAnsiTheme="minorHAnsi" w:cstheme="minorBidi"/>
          <w:bCs w:val="0"/>
          <w:kern w:val="0"/>
          <w:szCs w:val="22"/>
          <w:lang w:eastAsia="en-US"/>
        </w:rPr>
      </w:pPr>
      <w:hyperlink w:anchor="_Toc5614051" w:history="1">
        <w:r w:rsidRPr="004C0B8D">
          <w:rPr>
            <w:rStyle w:val="Hyperlink"/>
          </w:rPr>
          <w:t>6.</w:t>
        </w:r>
        <w:r>
          <w:rPr>
            <w:rFonts w:asciiTheme="minorHAnsi" w:eastAsiaTheme="minorEastAsia" w:hAnsiTheme="minorHAnsi" w:cstheme="minorBidi"/>
            <w:bCs w:val="0"/>
            <w:kern w:val="0"/>
            <w:szCs w:val="22"/>
            <w:lang w:eastAsia="en-US"/>
          </w:rPr>
          <w:tab/>
        </w:r>
        <w:r w:rsidRPr="004C0B8D">
          <w:rPr>
            <w:rStyle w:val="Hyperlink"/>
          </w:rPr>
          <w:t>Accessibility Issues</w:t>
        </w:r>
        <w:r>
          <w:rPr>
            <w:webHidden/>
          </w:rPr>
          <w:tab/>
        </w:r>
        <w:r>
          <w:rPr>
            <w:webHidden/>
          </w:rPr>
          <w:fldChar w:fldCharType="begin"/>
        </w:r>
        <w:r>
          <w:rPr>
            <w:webHidden/>
          </w:rPr>
          <w:instrText xml:space="preserve"> PAGEREF _Toc5614051 \h </w:instrText>
        </w:r>
        <w:r>
          <w:rPr>
            <w:webHidden/>
          </w:rPr>
          <w:fldChar w:fldCharType="separate"/>
        </w:r>
        <w:r>
          <w:rPr>
            <w:webHidden/>
          </w:rPr>
          <w:t>23</w:t>
        </w:r>
        <w:r>
          <w:rPr>
            <w:webHidden/>
          </w:rPr>
          <w:fldChar w:fldCharType="end"/>
        </w:r>
      </w:hyperlink>
    </w:p>
    <w:p w:rsidR="00173640" w14:paraId="5592E6D3" w14:textId="08461F4E">
      <w:pPr>
        <w:pStyle w:val="TOC1"/>
        <w:rPr>
          <w:rFonts w:asciiTheme="minorHAnsi" w:eastAsiaTheme="minorEastAsia" w:hAnsiTheme="minorHAnsi" w:cstheme="minorBidi"/>
          <w:bCs w:val="0"/>
          <w:caps w:val="0"/>
          <w:kern w:val="0"/>
          <w:szCs w:val="22"/>
          <w:lang w:eastAsia="en-US"/>
        </w:rPr>
      </w:pPr>
      <w:hyperlink w:anchor="_Toc5614052" w:history="1">
        <w:r w:rsidRPr="004C0B8D">
          <w:rPr>
            <w:rStyle w:val="Hyperlink"/>
          </w:rPr>
          <w:t>VI.</w:t>
        </w:r>
        <w:r>
          <w:rPr>
            <w:rFonts w:asciiTheme="minorHAnsi" w:eastAsiaTheme="minorEastAsia" w:hAnsiTheme="minorHAnsi" w:cstheme="minorBidi"/>
            <w:bCs w:val="0"/>
            <w:caps w:val="0"/>
            <w:kern w:val="0"/>
            <w:szCs w:val="22"/>
            <w:lang w:eastAsia="en-US"/>
          </w:rPr>
          <w:tab/>
        </w:r>
        <w:r w:rsidRPr="004C0B8D">
          <w:rPr>
            <w:rStyle w:val="Hyperlink"/>
          </w:rPr>
          <w:t>Next steps</w:t>
        </w:r>
        <w:r>
          <w:rPr>
            <w:webHidden/>
          </w:rPr>
          <w:tab/>
        </w:r>
        <w:r>
          <w:rPr>
            <w:webHidden/>
          </w:rPr>
          <w:fldChar w:fldCharType="begin"/>
        </w:r>
        <w:r>
          <w:rPr>
            <w:webHidden/>
          </w:rPr>
          <w:instrText xml:space="preserve"> PAGEREF _Toc5614052 \h </w:instrText>
        </w:r>
        <w:r>
          <w:rPr>
            <w:webHidden/>
          </w:rPr>
          <w:fldChar w:fldCharType="separate"/>
        </w:r>
        <w:r>
          <w:rPr>
            <w:webHidden/>
          </w:rPr>
          <w:t>23</w:t>
        </w:r>
        <w:r>
          <w:rPr>
            <w:webHidden/>
          </w:rPr>
          <w:fldChar w:fldCharType="end"/>
        </w:r>
      </w:hyperlink>
    </w:p>
    <w:p w:rsidR="00173640" w14:paraId="7FAE0C1C" w14:textId="242A60A2">
      <w:pPr>
        <w:pStyle w:val="TOC1"/>
        <w:rPr>
          <w:rFonts w:asciiTheme="minorHAnsi" w:eastAsiaTheme="minorEastAsia" w:hAnsiTheme="minorHAnsi" w:cstheme="minorBidi"/>
          <w:bCs w:val="0"/>
          <w:caps w:val="0"/>
          <w:kern w:val="0"/>
          <w:szCs w:val="22"/>
          <w:lang w:eastAsia="en-US"/>
        </w:rPr>
      </w:pPr>
      <w:hyperlink w:anchor="_Toc5614053" w:history="1">
        <w:r w:rsidRPr="004C0B8D">
          <w:rPr>
            <w:rStyle w:val="Hyperlink"/>
          </w:rPr>
          <w:t>IX.</w:t>
        </w:r>
        <w:r>
          <w:rPr>
            <w:rFonts w:asciiTheme="minorHAnsi" w:eastAsiaTheme="minorEastAsia" w:hAnsiTheme="minorHAnsi" w:cstheme="minorBidi"/>
            <w:bCs w:val="0"/>
            <w:caps w:val="0"/>
            <w:kern w:val="0"/>
            <w:szCs w:val="22"/>
            <w:lang w:eastAsia="en-US"/>
          </w:rPr>
          <w:tab/>
        </w:r>
        <w:r w:rsidRPr="004C0B8D">
          <w:rPr>
            <w:rStyle w:val="Hyperlink"/>
          </w:rPr>
          <w:t>CONCLUSION</w:t>
        </w:r>
        <w:r>
          <w:rPr>
            <w:webHidden/>
          </w:rPr>
          <w:tab/>
        </w:r>
        <w:r>
          <w:rPr>
            <w:webHidden/>
          </w:rPr>
          <w:fldChar w:fldCharType="begin"/>
        </w:r>
        <w:r>
          <w:rPr>
            <w:webHidden/>
          </w:rPr>
          <w:instrText xml:space="preserve"> PAGEREF _Toc5614053 \h </w:instrText>
        </w:r>
        <w:r>
          <w:rPr>
            <w:webHidden/>
          </w:rPr>
          <w:fldChar w:fldCharType="separate"/>
        </w:r>
        <w:r>
          <w:rPr>
            <w:webHidden/>
          </w:rPr>
          <w:t>24</w:t>
        </w:r>
        <w:r>
          <w:rPr>
            <w:webHidden/>
          </w:rPr>
          <w:fldChar w:fldCharType="end"/>
        </w:r>
      </w:hyperlink>
    </w:p>
    <w:p w:rsidR="00173640" w14:paraId="531377BF" w14:textId="2F60DE2E">
      <w:pPr>
        <w:pStyle w:val="TOC1"/>
        <w:rPr>
          <w:rFonts w:asciiTheme="minorHAnsi" w:eastAsiaTheme="minorEastAsia" w:hAnsiTheme="minorHAnsi" w:cstheme="minorBidi"/>
          <w:bCs w:val="0"/>
          <w:caps w:val="0"/>
          <w:kern w:val="0"/>
          <w:szCs w:val="22"/>
          <w:lang w:eastAsia="en-US"/>
        </w:rPr>
      </w:pPr>
      <w:hyperlink w:anchor="_Toc5614054" w:history="1">
        <w:r w:rsidRPr="004C0B8D">
          <w:rPr>
            <w:rStyle w:val="Hyperlink"/>
          </w:rPr>
          <w:t>APPENDIX: HOW WEA and EAS WORK</w:t>
        </w:r>
        <w:r>
          <w:rPr>
            <w:webHidden/>
          </w:rPr>
          <w:tab/>
        </w:r>
        <w:r>
          <w:rPr>
            <w:webHidden/>
          </w:rPr>
          <w:fldChar w:fldCharType="begin"/>
        </w:r>
        <w:r>
          <w:rPr>
            <w:webHidden/>
          </w:rPr>
          <w:instrText xml:space="preserve"> PAGEREF _Toc5614054 \h </w:instrText>
        </w:r>
        <w:r>
          <w:rPr>
            <w:webHidden/>
          </w:rPr>
          <w:fldChar w:fldCharType="separate"/>
        </w:r>
        <w:r>
          <w:rPr>
            <w:webHidden/>
          </w:rPr>
          <w:t>25</w:t>
        </w:r>
        <w:r>
          <w:rPr>
            <w:webHidden/>
          </w:rPr>
          <w:fldChar w:fldCharType="end"/>
        </w:r>
      </w:hyperlink>
    </w:p>
    <w:p w:rsidR="00623EC8" w:rsidRPr="00F55B90" w:rsidP="00F55B90" w14:paraId="5E842FFE" w14:textId="0AF88191">
      <w:pPr>
        <w:pStyle w:val="TOCHeading"/>
        <w:rPr>
          <w:rFonts w:asciiTheme="minorHAnsi" w:eastAsiaTheme="minorEastAsia" w:hAnsiTheme="minorHAnsi" w:cstheme="minorBidi"/>
          <w:bCs/>
          <w:caps/>
          <w:szCs w:val="22"/>
        </w:rPr>
      </w:pPr>
      <w:r>
        <w:rPr>
          <w:rFonts w:asciiTheme="minorHAnsi" w:eastAsiaTheme="minorEastAsia" w:hAnsiTheme="minorHAnsi" w:cstheme="minorBidi"/>
          <w:noProof/>
          <w:color w:val="auto"/>
          <w:kern w:val="32"/>
          <w:sz w:val="22"/>
          <w:szCs w:val="22"/>
          <w:lang w:eastAsia="ja-JP"/>
        </w:rPr>
        <w:fldChar w:fldCharType="end"/>
      </w:r>
      <w:bookmarkEnd w:id="2"/>
    </w:p>
    <w:p w:rsidR="00DB2ECD" w:rsidRPr="00B57342" w:rsidP="00091DBB" w14:paraId="1031FD44" w14:textId="77777777">
      <w:pPr>
        <w:pStyle w:val="Heading1"/>
      </w:pPr>
      <w:r w:rsidRPr="000E1D0E">
        <w:rPr>
          <w:rFonts w:cs="Times New Roman"/>
        </w:rPr>
        <w:br w:type="page"/>
      </w:r>
      <w:bookmarkStart w:id="4" w:name="_Toc507772161"/>
      <w:bookmarkStart w:id="5" w:name="_Toc507772548"/>
      <w:bookmarkStart w:id="6" w:name="_Toc508315386"/>
      <w:bookmarkStart w:id="7" w:name="_Toc508315973"/>
      <w:bookmarkStart w:id="8" w:name="_Toc511290786"/>
      <w:bookmarkStart w:id="9" w:name="_Toc511291578"/>
      <w:bookmarkStart w:id="10" w:name="_Toc5614026"/>
      <w:bookmarkEnd w:id="0"/>
      <w:bookmarkEnd w:id="1"/>
      <w:r w:rsidRPr="007059AE">
        <w:t>Summary</w:t>
      </w:r>
      <w:bookmarkStart w:id="11" w:name="_Toc507171617"/>
      <w:bookmarkStart w:id="12" w:name="_Toc476920596"/>
      <w:bookmarkStart w:id="13" w:name="_Toc476920598"/>
      <w:bookmarkStart w:id="14" w:name="_Toc476920600"/>
      <w:bookmarkStart w:id="15" w:name="_Toc476920602"/>
      <w:bookmarkStart w:id="16" w:name="_Toc476920603"/>
      <w:bookmarkStart w:id="17" w:name="_Toc476920604"/>
      <w:bookmarkStart w:id="18" w:name="_Toc476920605"/>
      <w:bookmarkStart w:id="19" w:name="_Toc477433259"/>
      <w:bookmarkEnd w:id="4"/>
      <w:bookmarkEnd w:id="5"/>
      <w:bookmarkEnd w:id="6"/>
      <w:bookmarkEnd w:id="7"/>
      <w:bookmarkEnd w:id="8"/>
      <w:bookmarkEnd w:id="9"/>
      <w:bookmarkEnd w:id="11"/>
      <w:bookmarkEnd w:id="12"/>
      <w:bookmarkEnd w:id="13"/>
      <w:bookmarkEnd w:id="14"/>
      <w:bookmarkEnd w:id="15"/>
      <w:bookmarkEnd w:id="16"/>
      <w:bookmarkEnd w:id="17"/>
      <w:bookmarkEnd w:id="18"/>
      <w:bookmarkEnd w:id="10"/>
    </w:p>
    <w:p w:rsidR="007963E3" w:rsidP="00DB2ECD" w14:paraId="68CDD2F2" w14:textId="56CDA368">
      <w:pPr>
        <w:rPr>
          <w:rFonts w:cs="Times New Roman"/>
          <w:szCs w:val="22"/>
        </w:rPr>
      </w:pPr>
      <w:r>
        <w:rPr>
          <w:rFonts w:cs="Times New Roman"/>
          <w:szCs w:val="22"/>
        </w:rPr>
        <w:t>At</w:t>
      </w:r>
      <w:r w:rsidRPr="007059AE">
        <w:rPr>
          <w:rFonts w:cs="Times New Roman"/>
          <w:szCs w:val="22"/>
        </w:rPr>
        <w:t xml:space="preserve"> 2:</w:t>
      </w:r>
      <w:r>
        <w:rPr>
          <w:rFonts w:cs="Times New Roman"/>
          <w:szCs w:val="22"/>
        </w:rPr>
        <w:t>18</w:t>
      </w:r>
      <w:r w:rsidRPr="007059AE">
        <w:rPr>
          <w:rFonts w:cs="Times New Roman"/>
          <w:szCs w:val="22"/>
        </w:rPr>
        <w:t xml:space="preserve"> p.m. </w:t>
      </w:r>
      <w:r>
        <w:rPr>
          <w:rFonts w:cs="Times New Roman"/>
          <w:szCs w:val="22"/>
        </w:rPr>
        <w:t xml:space="preserve">and 2:20 p.m. </w:t>
      </w:r>
      <w:r w:rsidRPr="007059AE">
        <w:rPr>
          <w:rFonts w:cs="Times New Roman"/>
          <w:szCs w:val="22"/>
        </w:rPr>
        <w:t>Eastern Daylight Time (EDT)</w:t>
      </w:r>
      <w:r>
        <w:rPr>
          <w:rFonts w:cs="Times New Roman"/>
          <w:szCs w:val="22"/>
        </w:rPr>
        <w:t xml:space="preserve"> o</w:t>
      </w:r>
      <w:r w:rsidRPr="007059AE" w:rsidR="00033051">
        <w:rPr>
          <w:rFonts w:cs="Times New Roman"/>
          <w:szCs w:val="22"/>
        </w:rPr>
        <w:t xml:space="preserve">n </w:t>
      </w:r>
      <w:r w:rsidR="004519C6">
        <w:rPr>
          <w:rFonts w:cs="Times New Roman"/>
          <w:szCs w:val="22"/>
        </w:rPr>
        <w:t>October 3</w:t>
      </w:r>
      <w:r w:rsidRPr="007059AE" w:rsidR="00033051">
        <w:rPr>
          <w:rFonts w:cs="Times New Roman"/>
          <w:szCs w:val="22"/>
        </w:rPr>
        <w:t>, 201</w:t>
      </w:r>
      <w:r w:rsidR="004519C6">
        <w:rPr>
          <w:rFonts w:cs="Times New Roman"/>
          <w:szCs w:val="22"/>
        </w:rPr>
        <w:t>8</w:t>
      </w:r>
      <w:r w:rsidRPr="007059AE" w:rsidR="00033051">
        <w:rPr>
          <w:rFonts w:cs="Times New Roman"/>
          <w:szCs w:val="22"/>
        </w:rPr>
        <w:t xml:space="preserve">, </w:t>
      </w:r>
      <w:r w:rsidR="0051040D">
        <w:rPr>
          <w:rFonts w:cs="Times New Roman"/>
          <w:szCs w:val="22"/>
        </w:rPr>
        <w:t xml:space="preserve">the Federal Emergency Management Agency (FEMA), in coordination with the Federal Communications Commission (Commission or FCC) and the National Weather Service (NWS), conducted </w:t>
      </w:r>
      <w:r w:rsidR="002E6879">
        <w:rPr>
          <w:rFonts w:cs="Times New Roman"/>
          <w:szCs w:val="22"/>
        </w:rPr>
        <w:t xml:space="preserve">a </w:t>
      </w:r>
      <w:r w:rsidR="0051040D">
        <w:rPr>
          <w:rFonts w:cs="Times New Roman"/>
          <w:szCs w:val="22"/>
        </w:rPr>
        <w:t xml:space="preserve">nationwide test of </w:t>
      </w:r>
      <w:r w:rsidR="0063752C">
        <w:rPr>
          <w:rFonts w:cs="Times New Roman"/>
          <w:szCs w:val="22"/>
        </w:rPr>
        <w:t xml:space="preserve">both </w:t>
      </w:r>
      <w:r w:rsidR="0051040D">
        <w:rPr>
          <w:rFonts w:cs="Times New Roman"/>
          <w:szCs w:val="22"/>
        </w:rPr>
        <w:t>Wireless Emergency Alerts (WEA) and the Emergency Alert System (EAS).</w:t>
      </w:r>
      <w:r>
        <w:rPr>
          <w:rStyle w:val="FootnoteReference"/>
          <w:szCs w:val="22"/>
        </w:rPr>
        <w:footnoteReference w:id="3"/>
      </w:r>
      <w:r w:rsidR="0051040D">
        <w:rPr>
          <w:rFonts w:cs="Times New Roman"/>
          <w:szCs w:val="22"/>
        </w:rPr>
        <w:t xml:space="preserve">  </w:t>
      </w:r>
      <w:r w:rsidR="000C779C">
        <w:rPr>
          <w:rFonts w:cs="Times New Roman"/>
          <w:szCs w:val="22"/>
        </w:rPr>
        <w:t>The purpose of th</w:t>
      </w:r>
      <w:r>
        <w:rPr>
          <w:rFonts w:cs="Times New Roman"/>
          <w:szCs w:val="22"/>
        </w:rPr>
        <w:t xml:space="preserve">e </w:t>
      </w:r>
      <w:r w:rsidR="000C779C">
        <w:rPr>
          <w:rFonts w:cs="Times New Roman"/>
          <w:szCs w:val="22"/>
        </w:rPr>
        <w:t xml:space="preserve">test was </w:t>
      </w:r>
      <w:r w:rsidRPr="0004203F" w:rsidR="000C779C">
        <w:rPr>
          <w:rFonts w:cs="Times New Roman"/>
          <w:szCs w:val="22"/>
        </w:rPr>
        <w:t>to assess the reliability</w:t>
      </w:r>
      <w:r w:rsidR="000C779C">
        <w:rPr>
          <w:rFonts w:cs="Times New Roman"/>
          <w:szCs w:val="22"/>
        </w:rPr>
        <w:t xml:space="preserve"> a</w:t>
      </w:r>
      <w:r w:rsidRPr="00D0321B" w:rsidR="000C779C">
        <w:rPr>
          <w:rFonts w:cs="Times New Roman"/>
        </w:rPr>
        <w:t xml:space="preserve">nd effectiveness of </w:t>
      </w:r>
      <w:r w:rsidRPr="0063752C" w:rsidR="0063752C">
        <w:rPr>
          <w:rFonts w:cs="Times New Roman"/>
        </w:rPr>
        <w:t>the nation’s alert and warning infrastructure</w:t>
      </w:r>
      <w:r w:rsidR="0063752C">
        <w:rPr>
          <w:rFonts w:cs="Times New Roman"/>
        </w:rPr>
        <w:t xml:space="preserve">, or the </w:t>
      </w:r>
      <w:r w:rsidRPr="0063752C" w:rsidR="0063752C">
        <w:rPr>
          <w:rFonts w:cs="Times New Roman"/>
        </w:rPr>
        <w:t>Integrated Public Alert and Warning System</w:t>
      </w:r>
      <w:r w:rsidR="00111F37">
        <w:rPr>
          <w:rFonts w:cs="Times New Roman"/>
        </w:rPr>
        <w:t xml:space="preserve"> (IPAWS)</w:t>
      </w:r>
      <w:r w:rsidR="00E13A95">
        <w:rPr>
          <w:rFonts w:cs="Times New Roman"/>
        </w:rPr>
        <w:t>, as well as the efficacy of WEA and the EAS as nationwide alerting tools</w:t>
      </w:r>
      <w:r w:rsidRPr="0063752C" w:rsidR="0063752C">
        <w:rPr>
          <w:rFonts w:cs="Times New Roman"/>
        </w:rPr>
        <w:t>.</w:t>
      </w:r>
      <w:r w:rsidR="0063752C">
        <w:rPr>
          <w:rFonts w:cs="Times New Roman"/>
        </w:rPr>
        <w:t xml:space="preserve">  </w:t>
      </w:r>
      <w:r w:rsidR="00DD767B">
        <w:rPr>
          <w:rFonts w:cs="Times New Roman"/>
          <w:szCs w:val="22"/>
        </w:rPr>
        <w:t xml:space="preserve">IPAWS is </w:t>
      </w:r>
      <w:r w:rsidR="006B74A7">
        <w:rPr>
          <w:rFonts w:cs="Times New Roman"/>
          <w:szCs w:val="22"/>
        </w:rPr>
        <w:t xml:space="preserve">a </w:t>
      </w:r>
      <w:r w:rsidRPr="006B74A7" w:rsidR="006B74A7">
        <w:rPr>
          <w:rFonts w:cs="Times New Roman"/>
          <w:szCs w:val="22"/>
        </w:rPr>
        <w:t xml:space="preserve">FEMA-operated alert aggregator </w:t>
      </w:r>
      <w:r w:rsidR="0063752C">
        <w:rPr>
          <w:rFonts w:cs="Times New Roman"/>
          <w:szCs w:val="22"/>
        </w:rPr>
        <w:t xml:space="preserve">that trusted government authorities may use to send WEA alert messages </w:t>
      </w:r>
      <w:r w:rsidR="0000377B">
        <w:rPr>
          <w:rFonts w:cs="Times New Roman"/>
          <w:szCs w:val="22"/>
        </w:rPr>
        <w:t xml:space="preserve">to </w:t>
      </w:r>
      <w:r w:rsidR="00770493">
        <w:rPr>
          <w:rFonts w:cs="Times New Roman"/>
          <w:szCs w:val="22"/>
        </w:rPr>
        <w:t>P</w:t>
      </w:r>
      <w:r w:rsidR="0000377B">
        <w:rPr>
          <w:rFonts w:cs="Times New Roman"/>
          <w:szCs w:val="22"/>
        </w:rPr>
        <w:t xml:space="preserve">articipating </w:t>
      </w:r>
      <w:r w:rsidR="00770493">
        <w:rPr>
          <w:rFonts w:cs="Times New Roman"/>
          <w:szCs w:val="22"/>
        </w:rPr>
        <w:t>C</w:t>
      </w:r>
      <w:r w:rsidR="0000377B">
        <w:rPr>
          <w:rFonts w:cs="Times New Roman"/>
          <w:szCs w:val="22"/>
        </w:rPr>
        <w:t xml:space="preserve">ommercial </w:t>
      </w:r>
      <w:r w:rsidR="00770493">
        <w:rPr>
          <w:rFonts w:cs="Times New Roman"/>
          <w:szCs w:val="22"/>
        </w:rPr>
        <w:t>M</w:t>
      </w:r>
      <w:r w:rsidR="0000377B">
        <w:rPr>
          <w:rFonts w:cs="Times New Roman"/>
          <w:szCs w:val="22"/>
        </w:rPr>
        <w:t xml:space="preserve">obile </w:t>
      </w:r>
      <w:r w:rsidR="00770493">
        <w:rPr>
          <w:rFonts w:cs="Times New Roman"/>
          <w:szCs w:val="22"/>
        </w:rPr>
        <w:t>S</w:t>
      </w:r>
      <w:r w:rsidR="0000377B">
        <w:rPr>
          <w:rFonts w:cs="Times New Roman"/>
          <w:szCs w:val="22"/>
        </w:rPr>
        <w:t xml:space="preserve">ervice (CMS) </w:t>
      </w:r>
      <w:r w:rsidR="00FF527E">
        <w:rPr>
          <w:rFonts w:cs="Times New Roman"/>
          <w:szCs w:val="22"/>
        </w:rPr>
        <w:t>P</w:t>
      </w:r>
      <w:r w:rsidR="0000377B">
        <w:rPr>
          <w:rFonts w:cs="Times New Roman"/>
          <w:szCs w:val="22"/>
        </w:rPr>
        <w:t>roviders</w:t>
      </w:r>
      <w:r>
        <w:rPr>
          <w:rStyle w:val="FootnoteReference"/>
        </w:rPr>
        <w:footnoteReference w:id="4"/>
      </w:r>
      <w:r w:rsidR="0000377B">
        <w:rPr>
          <w:rFonts w:cs="Times New Roman"/>
          <w:szCs w:val="22"/>
        </w:rPr>
        <w:t xml:space="preserve"> </w:t>
      </w:r>
      <w:r w:rsidR="0063752C">
        <w:rPr>
          <w:rFonts w:cs="Times New Roman"/>
          <w:szCs w:val="22"/>
        </w:rPr>
        <w:t xml:space="preserve">and </w:t>
      </w:r>
      <w:r>
        <w:rPr>
          <w:rFonts w:cs="Times New Roman"/>
          <w:szCs w:val="22"/>
        </w:rPr>
        <w:t xml:space="preserve">EAS alerts </w:t>
      </w:r>
      <w:r w:rsidR="00770493">
        <w:rPr>
          <w:rFonts w:cs="Times New Roman"/>
          <w:szCs w:val="22"/>
        </w:rPr>
        <w:t>to EAS Participants</w:t>
      </w:r>
      <w:r>
        <w:rPr>
          <w:rStyle w:val="FootnoteReference"/>
          <w:szCs w:val="22"/>
        </w:rPr>
        <w:footnoteReference w:id="5"/>
      </w:r>
      <w:r w:rsidR="00770493">
        <w:rPr>
          <w:rFonts w:cs="Times New Roman"/>
          <w:szCs w:val="22"/>
        </w:rPr>
        <w:t xml:space="preserve"> </w:t>
      </w:r>
      <w:r>
        <w:rPr>
          <w:rFonts w:cs="Times New Roman"/>
          <w:szCs w:val="22"/>
        </w:rPr>
        <w:t xml:space="preserve">using </w:t>
      </w:r>
      <w:r w:rsidR="00770493">
        <w:rPr>
          <w:rFonts w:cs="Times New Roman"/>
          <w:szCs w:val="22"/>
        </w:rPr>
        <w:t>the</w:t>
      </w:r>
      <w:r>
        <w:rPr>
          <w:rFonts w:cs="Times New Roman"/>
          <w:szCs w:val="22"/>
        </w:rPr>
        <w:t xml:space="preserve"> </w:t>
      </w:r>
      <w:r w:rsidRPr="0004203F">
        <w:rPr>
          <w:rFonts w:cs="Times New Roman"/>
          <w:szCs w:val="22"/>
        </w:rPr>
        <w:t>common alerting protocol</w:t>
      </w:r>
      <w:r>
        <w:rPr>
          <w:rFonts w:cs="Times New Roman"/>
          <w:szCs w:val="22"/>
        </w:rPr>
        <w:t xml:space="preserve"> called CAP-formatted.</w:t>
      </w:r>
      <w:r>
        <w:rPr>
          <w:rStyle w:val="FootnoteReference"/>
        </w:rPr>
        <w:footnoteReference w:id="6"/>
      </w:r>
      <w:r w:rsidR="0000377B">
        <w:rPr>
          <w:rFonts w:cs="Times New Roman"/>
          <w:szCs w:val="22"/>
        </w:rPr>
        <w:t xml:space="preserve"> </w:t>
      </w:r>
      <w:r>
        <w:rPr>
          <w:rFonts w:cs="Times New Roman"/>
          <w:szCs w:val="22"/>
        </w:rPr>
        <w:t xml:space="preserve"> </w:t>
      </w:r>
      <w:r w:rsidR="00393B90">
        <w:rPr>
          <w:rFonts w:cs="Times New Roman"/>
          <w:szCs w:val="22"/>
        </w:rPr>
        <w:t xml:space="preserve">This protocol enables alerts to be consistently and simultaneously distributed over the EAS and WEA architectures and ultimately transmitted to </w:t>
      </w:r>
      <w:r w:rsidRPr="0004203F" w:rsidR="00393B90">
        <w:rPr>
          <w:rFonts w:cs="Times New Roman"/>
          <w:szCs w:val="22"/>
        </w:rPr>
        <w:t>the public</w:t>
      </w:r>
      <w:r w:rsidR="00393B90">
        <w:rPr>
          <w:rFonts w:cs="Times New Roman"/>
        </w:rPr>
        <w:t>.</w:t>
      </w:r>
      <w:r w:rsidR="00627121">
        <w:rPr>
          <w:rFonts w:cs="Times New Roman"/>
        </w:rPr>
        <w:t xml:space="preserve">  </w:t>
      </w:r>
    </w:p>
    <w:p w:rsidR="00DB2ECD" w:rsidRPr="00B57342" w:rsidP="00DB2ECD" w14:paraId="3B22856D" w14:textId="77777777">
      <w:pPr>
        <w:rPr>
          <w:rFonts w:cs="Times New Roman"/>
          <w:szCs w:val="22"/>
        </w:rPr>
      </w:pPr>
    </w:p>
    <w:p w:rsidR="00405018" w:rsidP="00DB2ECD" w14:paraId="36657593" w14:textId="165AA7D3">
      <w:pPr>
        <w:rPr>
          <w:rFonts w:cs="Times New Roman"/>
          <w:szCs w:val="22"/>
        </w:rPr>
      </w:pPr>
      <w:r>
        <w:rPr>
          <w:rFonts w:cs="Times New Roman"/>
          <w:szCs w:val="22"/>
        </w:rPr>
        <w:t xml:space="preserve">The nationwide </w:t>
      </w:r>
      <w:r w:rsidR="002603F7">
        <w:rPr>
          <w:rFonts w:cs="Times New Roman"/>
          <w:szCs w:val="22"/>
        </w:rPr>
        <w:t xml:space="preserve">test </w:t>
      </w:r>
      <w:r>
        <w:rPr>
          <w:rFonts w:cs="Times New Roman"/>
          <w:szCs w:val="22"/>
        </w:rPr>
        <w:t xml:space="preserve">demonstrated that WEA </w:t>
      </w:r>
      <w:r w:rsidR="002603F7">
        <w:rPr>
          <w:rFonts w:cs="Times New Roman"/>
          <w:szCs w:val="22"/>
        </w:rPr>
        <w:t>is</w:t>
      </w:r>
      <w:r>
        <w:rPr>
          <w:rFonts w:cs="Times New Roman"/>
          <w:szCs w:val="22"/>
        </w:rPr>
        <w:t xml:space="preserve"> an effective </w:t>
      </w:r>
      <w:r w:rsidR="0000377B">
        <w:rPr>
          <w:rFonts w:cs="Times New Roman"/>
          <w:szCs w:val="22"/>
        </w:rPr>
        <w:t xml:space="preserve">alerting </w:t>
      </w:r>
      <w:r>
        <w:rPr>
          <w:rFonts w:cs="Times New Roman"/>
          <w:szCs w:val="22"/>
        </w:rPr>
        <w:t>tool to rapidly disseminate emergency information to the public.  Based on survey</w:t>
      </w:r>
      <w:r w:rsidR="001102DE">
        <w:rPr>
          <w:rFonts w:cs="Times New Roman"/>
          <w:szCs w:val="22"/>
        </w:rPr>
        <w:t xml:space="preserve"> data shared with the Commission</w:t>
      </w:r>
      <w:r>
        <w:rPr>
          <w:rFonts w:cs="Times New Roman"/>
          <w:szCs w:val="22"/>
        </w:rPr>
        <w:t xml:space="preserve">, </w:t>
      </w:r>
      <w:r w:rsidR="001102DE">
        <w:rPr>
          <w:rFonts w:cs="Times New Roman"/>
          <w:szCs w:val="22"/>
        </w:rPr>
        <w:t>most people</w:t>
      </w:r>
      <w:r>
        <w:rPr>
          <w:rFonts w:cs="Times New Roman"/>
          <w:szCs w:val="22"/>
        </w:rPr>
        <w:t xml:space="preserve"> reported successful receipt of the WEA test message, with several news reports noting the success of the nationwide test to reach the public.</w:t>
      </w:r>
      <w:r>
        <w:rPr>
          <w:rStyle w:val="FootnoteReference"/>
          <w:szCs w:val="22"/>
        </w:rPr>
        <w:footnoteReference w:id="7"/>
      </w:r>
      <w:r>
        <w:rPr>
          <w:rFonts w:cs="Times New Roman"/>
          <w:szCs w:val="22"/>
        </w:rPr>
        <w:t xml:space="preserve">  </w:t>
      </w:r>
      <w:r w:rsidR="005A75EC">
        <w:rPr>
          <w:rFonts w:cs="Times New Roman"/>
          <w:szCs w:val="22"/>
        </w:rPr>
        <w:t>The test also highlighted areas w</w:t>
      </w:r>
      <w:r w:rsidR="000077AD">
        <w:rPr>
          <w:rFonts w:cs="Times New Roman"/>
          <w:szCs w:val="22"/>
        </w:rPr>
        <w:t>h</w:t>
      </w:r>
      <w:r w:rsidR="005A75EC">
        <w:rPr>
          <w:rFonts w:cs="Times New Roman"/>
          <w:szCs w:val="22"/>
        </w:rPr>
        <w:t>ere WEA delivery can be improved</w:t>
      </w:r>
      <w:r w:rsidR="00443BA6">
        <w:rPr>
          <w:rFonts w:cs="Times New Roman"/>
          <w:szCs w:val="22"/>
        </w:rPr>
        <w:t xml:space="preserve">, such as </w:t>
      </w:r>
      <w:r w:rsidR="005A75EC">
        <w:rPr>
          <w:rFonts w:cs="Times New Roman"/>
          <w:szCs w:val="22"/>
        </w:rPr>
        <w:t>ensur</w:t>
      </w:r>
      <w:r w:rsidR="00443BA6">
        <w:rPr>
          <w:rFonts w:cs="Times New Roman"/>
          <w:szCs w:val="22"/>
        </w:rPr>
        <w:t xml:space="preserve">ing </w:t>
      </w:r>
      <w:r w:rsidR="004C0943">
        <w:rPr>
          <w:rFonts w:cs="Times New Roman"/>
          <w:szCs w:val="22"/>
        </w:rPr>
        <w:t>more</w:t>
      </w:r>
      <w:r>
        <w:rPr>
          <w:rFonts w:cs="Times New Roman"/>
          <w:szCs w:val="22"/>
        </w:rPr>
        <w:t xml:space="preserve"> consistent delivery</w:t>
      </w:r>
      <w:r w:rsidR="00176BEE">
        <w:rPr>
          <w:rFonts w:cs="Times New Roman"/>
          <w:szCs w:val="22"/>
        </w:rPr>
        <w:t>,</w:t>
      </w:r>
      <w:r>
        <w:rPr>
          <w:rFonts w:cs="Times New Roman"/>
          <w:szCs w:val="22"/>
        </w:rPr>
        <w:t xml:space="preserve"> </w:t>
      </w:r>
      <w:r w:rsidR="00360CDB">
        <w:rPr>
          <w:rFonts w:cs="Times New Roman"/>
          <w:szCs w:val="22"/>
        </w:rPr>
        <w:t>reduc</w:t>
      </w:r>
      <w:r w:rsidR="00A163F0">
        <w:rPr>
          <w:rFonts w:cs="Times New Roman"/>
          <w:szCs w:val="22"/>
        </w:rPr>
        <w:t>ing</w:t>
      </w:r>
      <w:r w:rsidR="00360CDB">
        <w:rPr>
          <w:rFonts w:cs="Times New Roman"/>
          <w:szCs w:val="22"/>
        </w:rPr>
        <w:t xml:space="preserve"> </w:t>
      </w:r>
      <w:r>
        <w:rPr>
          <w:rFonts w:cs="Times New Roman"/>
          <w:szCs w:val="22"/>
        </w:rPr>
        <w:t>duplicate messages, and resolving issues</w:t>
      </w:r>
      <w:r>
        <w:rPr>
          <w:rFonts w:cs="Times New Roman"/>
          <w:szCs w:val="22"/>
        </w:rPr>
        <w:t xml:space="preserve"> concerning</w:t>
      </w:r>
      <w:r>
        <w:rPr>
          <w:rFonts w:cs="Times New Roman"/>
          <w:szCs w:val="22"/>
        </w:rPr>
        <w:t xml:space="preserve"> alert message audio tone and vibration cadence.   </w:t>
      </w:r>
    </w:p>
    <w:p w:rsidR="00405018" w:rsidP="00DB2ECD" w14:paraId="6D5C4D1C" w14:textId="77777777">
      <w:pPr>
        <w:rPr>
          <w:rFonts w:cs="Times New Roman"/>
          <w:szCs w:val="22"/>
        </w:rPr>
      </w:pPr>
    </w:p>
    <w:p w:rsidR="00DB2ECD" w:rsidP="00F0261C" w14:paraId="09071AAB" w14:textId="44FDD992">
      <w:pPr>
        <w:spacing w:after="120"/>
        <w:rPr>
          <w:rFonts w:cs="Times New Roman"/>
          <w:szCs w:val="22"/>
        </w:rPr>
      </w:pPr>
      <w:r>
        <w:rPr>
          <w:rFonts w:cs="Times New Roman"/>
          <w:szCs w:val="22"/>
        </w:rPr>
        <w:t>With respec</w:t>
      </w:r>
      <w:r w:rsidR="00DD767B">
        <w:rPr>
          <w:rFonts w:cs="Times New Roman"/>
          <w:szCs w:val="22"/>
        </w:rPr>
        <w:t>t to EAS, t</w:t>
      </w:r>
      <w:r>
        <w:rPr>
          <w:rFonts w:cs="Times New Roman"/>
          <w:szCs w:val="22"/>
        </w:rPr>
        <w:t>he nation</w:t>
      </w:r>
      <w:r w:rsidR="00782450">
        <w:rPr>
          <w:rFonts w:cs="Times New Roman"/>
          <w:szCs w:val="22"/>
        </w:rPr>
        <w:t>wide</w:t>
      </w:r>
      <w:r>
        <w:rPr>
          <w:rFonts w:cs="Times New Roman"/>
          <w:szCs w:val="22"/>
        </w:rPr>
        <w:t xml:space="preserve"> test</w:t>
      </w:r>
      <w:r w:rsidRPr="00B57342" w:rsidR="00033051">
        <w:rPr>
          <w:rFonts w:cs="Times New Roman"/>
          <w:szCs w:val="22"/>
        </w:rPr>
        <w:t xml:space="preserve"> </w:t>
      </w:r>
      <w:r w:rsidR="00DD767B">
        <w:rPr>
          <w:rFonts w:cs="Times New Roman"/>
          <w:szCs w:val="22"/>
        </w:rPr>
        <w:t xml:space="preserve">also </w:t>
      </w:r>
      <w:r w:rsidRPr="00B57342" w:rsidR="00033051">
        <w:rPr>
          <w:rFonts w:cs="Times New Roman"/>
          <w:szCs w:val="22"/>
        </w:rPr>
        <w:t>demonstrated that IPAWS continues to deliver high-quality, effective, and accessible EAS alerts, and that EAS Participants</w:t>
      </w:r>
      <w:r w:rsidR="00AB1579">
        <w:rPr>
          <w:rFonts w:cs="Times New Roman"/>
          <w:szCs w:val="22"/>
        </w:rPr>
        <w:t>’</w:t>
      </w:r>
      <w:r w:rsidR="00033051">
        <w:rPr>
          <w:rFonts w:cs="Times New Roman"/>
          <w:szCs w:val="22"/>
        </w:rPr>
        <w:t xml:space="preserve"> </w:t>
      </w:r>
      <w:r w:rsidRPr="00872B1B" w:rsidR="00033051">
        <w:rPr>
          <w:rFonts w:cs="Times New Roman"/>
          <w:szCs w:val="22"/>
        </w:rPr>
        <w:t>results</w:t>
      </w:r>
      <w:r w:rsidR="00513227">
        <w:rPr>
          <w:rFonts w:cs="Times New Roman"/>
          <w:szCs w:val="22"/>
        </w:rPr>
        <w:t xml:space="preserve"> are comparable to 2017 performance</w:t>
      </w:r>
      <w:r w:rsidR="00DD767B">
        <w:rPr>
          <w:rFonts w:cs="Times New Roman"/>
          <w:szCs w:val="22"/>
        </w:rPr>
        <w:t xml:space="preserve"> levels</w:t>
      </w:r>
      <w:r w:rsidR="00513227">
        <w:rPr>
          <w:rFonts w:cs="Times New Roman"/>
          <w:szCs w:val="22"/>
        </w:rPr>
        <w:t>, with continued</w:t>
      </w:r>
      <w:r w:rsidRPr="00872B1B" w:rsidR="00033051">
        <w:rPr>
          <w:rFonts w:cs="Times New Roman"/>
          <w:szCs w:val="22"/>
        </w:rPr>
        <w:t xml:space="preserve"> improvement in several areas</w:t>
      </w:r>
      <w:r w:rsidR="00033051">
        <w:rPr>
          <w:rFonts w:cs="Times New Roman"/>
          <w:szCs w:val="22"/>
        </w:rPr>
        <w:t>.</w:t>
      </w:r>
      <w:r w:rsidR="00033051">
        <w:rPr>
          <w:rStyle w:val="FootnoteReference"/>
          <w:szCs w:val="22"/>
        </w:rPr>
        <w:t xml:space="preserve"> </w:t>
      </w:r>
      <w:r w:rsidR="007523E4">
        <w:rPr>
          <w:szCs w:val="22"/>
        </w:rPr>
        <w:t xml:space="preserve"> </w:t>
      </w:r>
      <w:r w:rsidRPr="00B57342" w:rsidR="00033051">
        <w:rPr>
          <w:rFonts w:cs="Times New Roman"/>
          <w:szCs w:val="22"/>
        </w:rPr>
        <w:t xml:space="preserve">Specifically:  </w:t>
      </w:r>
    </w:p>
    <w:p w:rsidR="00F27A28" w:rsidRPr="00857862" w:rsidP="00F27A28" w14:paraId="7096D062" w14:textId="77777777">
      <w:pPr>
        <w:pStyle w:val="ListParagraph"/>
        <w:numPr>
          <w:ilvl w:val="0"/>
          <w:numId w:val="6"/>
        </w:numPr>
        <w:spacing w:after="120"/>
        <w:rPr>
          <w:rFonts w:cs="Times New Roman"/>
        </w:rPr>
      </w:pPr>
      <w:r>
        <w:rPr>
          <w:rFonts w:cs="Times New Roman"/>
        </w:rPr>
        <w:t>A</w:t>
      </w:r>
      <w:r>
        <w:rPr>
          <w:rFonts w:cs="Times New Roman"/>
        </w:rPr>
        <w:t xml:space="preserve"> majority (58.7%) receiv</w:t>
      </w:r>
      <w:r>
        <w:rPr>
          <w:rFonts w:cs="Times New Roman"/>
        </w:rPr>
        <w:t>ed</w:t>
      </w:r>
      <w:r>
        <w:rPr>
          <w:rFonts w:cs="Times New Roman"/>
        </w:rPr>
        <w:t xml:space="preserve"> the test alert first via IPAWS</w:t>
      </w:r>
      <w:r w:rsidR="00770493">
        <w:rPr>
          <w:rFonts w:cs="Times New Roman"/>
        </w:rPr>
        <w:t xml:space="preserve">, as </w:t>
      </w:r>
      <w:r>
        <w:rPr>
          <w:rFonts w:cs="Times New Roman"/>
        </w:rPr>
        <w:t>compared to 41.9%</w:t>
      </w:r>
      <w:r w:rsidR="00770493">
        <w:rPr>
          <w:rFonts w:cs="Times New Roman"/>
        </w:rPr>
        <w:t xml:space="preserve"> in 2017</w:t>
      </w:r>
      <w:r>
        <w:rPr>
          <w:rFonts w:cs="Times New Roman"/>
        </w:rPr>
        <w:t>;</w:t>
      </w:r>
    </w:p>
    <w:p w:rsidR="00F27A28" w:rsidRPr="001C079A" w:rsidP="00F27A28" w14:paraId="64C53DA1" w14:textId="62A1BDB6">
      <w:pPr>
        <w:pStyle w:val="ListParagraph"/>
        <w:numPr>
          <w:ilvl w:val="0"/>
          <w:numId w:val="6"/>
        </w:numPr>
        <w:spacing w:after="120"/>
        <w:rPr>
          <w:rFonts w:cs="Times New Roman"/>
        </w:rPr>
      </w:pPr>
      <w:r>
        <w:t>A similar rate of both successfully receiving and retransmitting the test alert (</w:t>
      </w:r>
      <w:r w:rsidRPr="007D131B">
        <w:rPr>
          <w:rFonts w:cs="Times New Roman"/>
        </w:rPr>
        <w:t>95.</w:t>
      </w:r>
      <w:r>
        <w:rPr>
          <w:rFonts w:cs="Times New Roman"/>
        </w:rPr>
        <w:t>7</w:t>
      </w:r>
      <w:r w:rsidRPr="007D131B">
        <w:rPr>
          <w:rFonts w:cs="Times New Roman"/>
        </w:rPr>
        <w:t>% receipt, as compared to 95.</w:t>
      </w:r>
      <w:r>
        <w:rPr>
          <w:rFonts w:cs="Times New Roman"/>
        </w:rPr>
        <w:t>8</w:t>
      </w:r>
      <w:r w:rsidRPr="007D131B">
        <w:rPr>
          <w:rFonts w:cs="Times New Roman"/>
        </w:rPr>
        <w:t>% in 201</w:t>
      </w:r>
      <w:r>
        <w:rPr>
          <w:rFonts w:cs="Times New Roman"/>
        </w:rPr>
        <w:t>7</w:t>
      </w:r>
      <w:r w:rsidRPr="007D131B">
        <w:rPr>
          <w:rFonts w:cs="Times New Roman"/>
        </w:rPr>
        <w:t>; 9</w:t>
      </w:r>
      <w:r>
        <w:rPr>
          <w:rFonts w:cs="Times New Roman"/>
        </w:rPr>
        <w:t>2</w:t>
      </w:r>
      <w:r w:rsidR="00703FE6">
        <w:rPr>
          <w:rFonts w:cs="Times New Roman"/>
        </w:rPr>
        <w:t>.1</w:t>
      </w:r>
      <w:r w:rsidRPr="007D131B">
        <w:rPr>
          <w:rFonts w:cs="Times New Roman"/>
        </w:rPr>
        <w:t xml:space="preserve">% retransmission, as compared to </w:t>
      </w:r>
      <w:r>
        <w:rPr>
          <w:rFonts w:cs="Times New Roman"/>
        </w:rPr>
        <w:t>91.9</w:t>
      </w:r>
      <w:r w:rsidRPr="007D131B">
        <w:rPr>
          <w:rFonts w:cs="Times New Roman"/>
        </w:rPr>
        <w:t>% in 201</w:t>
      </w:r>
      <w:r>
        <w:rPr>
          <w:rFonts w:cs="Times New Roman"/>
        </w:rPr>
        <w:t>7</w:t>
      </w:r>
      <w:r>
        <w:t xml:space="preserve">); </w:t>
      </w:r>
    </w:p>
    <w:p w:rsidR="00F27A28" w:rsidP="00F27A28" w14:paraId="7DDA3768" w14:textId="77777777">
      <w:pPr>
        <w:pStyle w:val="ListParagraph"/>
        <w:numPr>
          <w:ilvl w:val="0"/>
          <w:numId w:val="6"/>
        </w:numPr>
        <w:spacing w:after="120"/>
        <w:rPr>
          <w:rFonts w:cs="Times New Roman"/>
        </w:rPr>
      </w:pPr>
      <w:r>
        <w:rPr>
          <w:rFonts w:cs="Times New Roman"/>
        </w:rPr>
        <w:t>An increase in receiving and retransmitting the test alert in both English and Spanish (rates up from 2017 by 388% for receiving the alert and by 350% for retransmitting the alert);</w:t>
      </w:r>
    </w:p>
    <w:p w:rsidR="00F27A28" w:rsidRPr="007D131B" w:rsidP="00F27A28" w14:paraId="378C7C87" w14:textId="4CD64ECB">
      <w:pPr>
        <w:pStyle w:val="ListParagraph"/>
        <w:numPr>
          <w:ilvl w:val="0"/>
          <w:numId w:val="6"/>
        </w:numPr>
        <w:spacing w:after="120"/>
        <w:rPr>
          <w:rFonts w:cs="Times New Roman"/>
        </w:rPr>
      </w:pPr>
      <w:r>
        <w:rPr>
          <w:rFonts w:cs="Times New Roman"/>
        </w:rPr>
        <w:t>A decline in audio issues reported as an explanation for complications in receipt and retransmission (down to 68 explanations, from 105</w:t>
      </w:r>
      <w:r w:rsidR="00703FE6">
        <w:rPr>
          <w:rFonts w:cs="Times New Roman"/>
        </w:rPr>
        <w:t>6</w:t>
      </w:r>
      <w:r>
        <w:rPr>
          <w:rFonts w:cs="Times New Roman"/>
        </w:rPr>
        <w:t xml:space="preserve"> explanations provided in 2017); and</w:t>
      </w:r>
    </w:p>
    <w:p w:rsidR="00F27A28" w:rsidRPr="00183994" w:rsidP="00F27A28" w14:paraId="239228AD" w14:textId="77777777">
      <w:pPr>
        <w:pStyle w:val="ListParagraph"/>
        <w:numPr>
          <w:ilvl w:val="0"/>
          <w:numId w:val="6"/>
        </w:numPr>
        <w:spacing w:after="120"/>
        <w:rPr>
          <w:rFonts w:cs="Times New Roman"/>
        </w:rPr>
      </w:pPr>
      <w:r>
        <w:t>Slightly h</w:t>
      </w:r>
      <w:r>
        <w:t>igher rates of configuring their equipment to monitor IPAWS (</w:t>
      </w:r>
      <w:r w:rsidRPr="007D131B">
        <w:rPr>
          <w:rFonts w:cs="Times New Roman"/>
        </w:rPr>
        <w:t>96.</w:t>
      </w:r>
      <w:r>
        <w:rPr>
          <w:rFonts w:cs="Times New Roman"/>
        </w:rPr>
        <w:t>8</w:t>
      </w:r>
      <w:r w:rsidRPr="007D131B">
        <w:rPr>
          <w:rFonts w:cs="Times New Roman"/>
        </w:rPr>
        <w:t>%, as compared to 9</w:t>
      </w:r>
      <w:r>
        <w:rPr>
          <w:rFonts w:cs="Times New Roman"/>
        </w:rPr>
        <w:t>6</w:t>
      </w:r>
      <w:r w:rsidRPr="007D131B">
        <w:rPr>
          <w:rFonts w:cs="Times New Roman"/>
        </w:rPr>
        <w:t>.</w:t>
      </w:r>
      <w:r>
        <w:rPr>
          <w:rFonts w:cs="Times New Roman"/>
        </w:rPr>
        <w:t>7</w:t>
      </w:r>
      <w:r w:rsidRPr="007D131B">
        <w:rPr>
          <w:rFonts w:cs="Times New Roman"/>
        </w:rPr>
        <w:t>% in 201</w:t>
      </w:r>
      <w:r>
        <w:rPr>
          <w:rFonts w:cs="Times New Roman"/>
        </w:rPr>
        <w:t>7</w:t>
      </w:r>
      <w:r w:rsidRPr="007D131B">
        <w:rPr>
          <w:rFonts w:cs="Times New Roman"/>
        </w:rPr>
        <w:t>)</w:t>
      </w:r>
      <w:r>
        <w:t>.</w:t>
      </w:r>
    </w:p>
    <w:p w:rsidR="00DB2ECD" w:rsidRPr="00DE56EE" w:rsidP="00085542" w14:paraId="392F4253" w14:textId="37365C65">
      <w:pPr>
        <w:pStyle w:val="ParaNum"/>
        <w:numPr>
          <w:ilvl w:val="0"/>
          <w:numId w:val="0"/>
        </w:numPr>
        <w:rPr>
          <w:rFonts w:cs="Times New Roman"/>
          <w:kern w:val="0"/>
        </w:rPr>
      </w:pPr>
      <w:r w:rsidRPr="00B57342">
        <w:rPr>
          <w:rFonts w:cs="Times New Roman"/>
          <w:szCs w:val="22"/>
        </w:rPr>
        <w:t>T</w:t>
      </w:r>
      <w:r w:rsidR="00DD767B">
        <w:rPr>
          <w:rFonts w:cs="Times New Roman"/>
          <w:szCs w:val="22"/>
        </w:rPr>
        <w:t xml:space="preserve">his </w:t>
      </w:r>
      <w:r w:rsidRPr="00B57342">
        <w:rPr>
          <w:rFonts w:cs="Times New Roman"/>
          <w:szCs w:val="22"/>
        </w:rPr>
        <w:t>report provides an analysis of the 201</w:t>
      </w:r>
      <w:r w:rsidR="005D1AC6">
        <w:rPr>
          <w:rFonts w:cs="Times New Roman"/>
          <w:szCs w:val="22"/>
        </w:rPr>
        <w:t>8</w:t>
      </w:r>
      <w:r w:rsidR="00CE0573">
        <w:rPr>
          <w:rFonts w:cs="Times New Roman"/>
          <w:szCs w:val="22"/>
        </w:rPr>
        <w:t xml:space="preserve"> nationwide test results of WEA and EAS</w:t>
      </w:r>
      <w:r w:rsidR="00660AEA">
        <w:rPr>
          <w:rFonts w:cs="Times New Roman"/>
          <w:szCs w:val="22"/>
        </w:rPr>
        <w:t xml:space="preserve">.  This report </w:t>
      </w:r>
      <w:r w:rsidR="00310A78">
        <w:rPr>
          <w:rFonts w:cs="Times New Roman"/>
          <w:szCs w:val="22"/>
        </w:rPr>
        <w:t xml:space="preserve">offers </w:t>
      </w:r>
      <w:r w:rsidR="00770493">
        <w:rPr>
          <w:rFonts w:cs="Times New Roman"/>
          <w:szCs w:val="22"/>
        </w:rPr>
        <w:t xml:space="preserve">insight on </w:t>
      </w:r>
      <w:r w:rsidR="005D1AC6">
        <w:rPr>
          <w:rFonts w:cs="Times New Roman"/>
          <w:szCs w:val="22"/>
        </w:rPr>
        <w:t xml:space="preserve">WEA </w:t>
      </w:r>
      <w:r w:rsidR="005577D2">
        <w:rPr>
          <w:rFonts w:cs="Times New Roman"/>
          <w:szCs w:val="22"/>
        </w:rPr>
        <w:t xml:space="preserve">and EAS </w:t>
      </w:r>
      <w:r w:rsidR="0055121E">
        <w:rPr>
          <w:rFonts w:cs="Times New Roman"/>
          <w:szCs w:val="22"/>
        </w:rPr>
        <w:t>performance</w:t>
      </w:r>
      <w:r w:rsidR="005D18BE">
        <w:rPr>
          <w:rFonts w:cs="Times New Roman"/>
          <w:szCs w:val="22"/>
        </w:rPr>
        <w:t>,</w:t>
      </w:r>
      <w:r w:rsidR="0055121E">
        <w:rPr>
          <w:rFonts w:cs="Times New Roman"/>
          <w:szCs w:val="22"/>
        </w:rPr>
        <w:t xml:space="preserve"> and </w:t>
      </w:r>
      <w:r w:rsidR="005D18BE">
        <w:rPr>
          <w:rFonts w:cs="Times New Roman"/>
          <w:szCs w:val="22"/>
        </w:rPr>
        <w:t xml:space="preserve">it provides useful information </w:t>
      </w:r>
      <w:r w:rsidR="00770493">
        <w:rPr>
          <w:rFonts w:cs="Times New Roman"/>
          <w:szCs w:val="22"/>
        </w:rPr>
        <w:t>on areas for improvement regarding</w:t>
      </w:r>
      <w:r w:rsidR="0055121E">
        <w:rPr>
          <w:rFonts w:cs="Times New Roman"/>
          <w:szCs w:val="22"/>
        </w:rPr>
        <w:t xml:space="preserve"> technical and operational performance.  The report </w:t>
      </w:r>
      <w:r w:rsidR="005371C4">
        <w:rPr>
          <w:rFonts w:cs="Times New Roman"/>
          <w:szCs w:val="22"/>
        </w:rPr>
        <w:t xml:space="preserve">also </w:t>
      </w:r>
      <w:r w:rsidR="0055121E">
        <w:rPr>
          <w:rFonts w:cs="Times New Roman"/>
          <w:szCs w:val="22"/>
        </w:rPr>
        <w:t>includes</w:t>
      </w:r>
      <w:r w:rsidRPr="00B57342">
        <w:rPr>
          <w:rFonts w:cs="Times New Roman"/>
          <w:szCs w:val="22"/>
        </w:rPr>
        <w:t xml:space="preserve"> recommended next steps </w:t>
      </w:r>
      <w:r w:rsidR="00C403F9">
        <w:rPr>
          <w:rFonts w:cs="Times New Roman"/>
          <w:szCs w:val="22"/>
        </w:rPr>
        <w:t xml:space="preserve">that the </w:t>
      </w:r>
      <w:r w:rsidRPr="00C403F9" w:rsidR="00C403F9">
        <w:rPr>
          <w:rFonts w:cs="Times New Roman"/>
          <w:szCs w:val="22"/>
        </w:rPr>
        <w:t>Public Safety and Homeland Security Bureau (PSHSB</w:t>
      </w:r>
      <w:r w:rsidR="0056400D">
        <w:rPr>
          <w:rFonts w:cs="Times New Roman"/>
          <w:szCs w:val="22"/>
        </w:rPr>
        <w:t xml:space="preserve"> or the Bureau</w:t>
      </w:r>
      <w:r w:rsidRPr="00C403F9" w:rsidR="00C403F9">
        <w:rPr>
          <w:rFonts w:cs="Times New Roman"/>
          <w:szCs w:val="22"/>
        </w:rPr>
        <w:t>)</w:t>
      </w:r>
      <w:r w:rsidR="005D1AC6">
        <w:rPr>
          <w:rFonts w:cs="Times New Roman"/>
          <w:szCs w:val="22"/>
        </w:rPr>
        <w:t xml:space="preserve">, </w:t>
      </w:r>
      <w:r w:rsidR="00FF40AA">
        <w:rPr>
          <w:rFonts w:cs="Times New Roman"/>
          <w:szCs w:val="22"/>
        </w:rPr>
        <w:t>EAS Participants</w:t>
      </w:r>
      <w:r w:rsidR="005D1AC6">
        <w:rPr>
          <w:rFonts w:cs="Times New Roman"/>
          <w:szCs w:val="22"/>
        </w:rPr>
        <w:t>, and Participating CMS Providers</w:t>
      </w:r>
      <w:r w:rsidR="00FF40AA">
        <w:rPr>
          <w:rFonts w:cs="Times New Roman"/>
          <w:szCs w:val="22"/>
        </w:rPr>
        <w:t xml:space="preserve"> can take</w:t>
      </w:r>
      <w:r w:rsidR="00DD767B">
        <w:rPr>
          <w:rFonts w:cs="Times New Roman"/>
          <w:szCs w:val="22"/>
        </w:rPr>
        <w:t xml:space="preserve"> </w:t>
      </w:r>
      <w:r w:rsidRPr="00B57342">
        <w:rPr>
          <w:rFonts w:cs="Times New Roman"/>
          <w:szCs w:val="22"/>
        </w:rPr>
        <w:t xml:space="preserve">to improve </w:t>
      </w:r>
      <w:r w:rsidR="005D1AC6">
        <w:rPr>
          <w:rFonts w:cs="Times New Roman"/>
          <w:szCs w:val="22"/>
        </w:rPr>
        <w:t>WEA</w:t>
      </w:r>
      <w:r w:rsidR="005577D2">
        <w:rPr>
          <w:rFonts w:cs="Times New Roman"/>
          <w:szCs w:val="22"/>
        </w:rPr>
        <w:t xml:space="preserve"> and EAS</w:t>
      </w:r>
      <w:r w:rsidR="00CE0573">
        <w:rPr>
          <w:rFonts w:cs="Times New Roman"/>
          <w:szCs w:val="22"/>
        </w:rPr>
        <w:t xml:space="preserve"> as a reliable alerting tool to protect all Americans</w:t>
      </w:r>
      <w:r w:rsidRPr="00B57342">
        <w:rPr>
          <w:rFonts w:cs="Times New Roman"/>
          <w:szCs w:val="22"/>
        </w:rPr>
        <w:t>.</w:t>
      </w:r>
      <w:r w:rsidR="00E24AC5">
        <w:rPr>
          <w:rFonts w:cs="Times New Roman"/>
          <w:szCs w:val="22"/>
        </w:rPr>
        <w:t xml:space="preserve">  </w:t>
      </w:r>
    </w:p>
    <w:p w:rsidR="00DB2ECD" w:rsidRPr="00B57342" w:rsidP="00091DBB" w14:paraId="65103CF2" w14:textId="77777777">
      <w:pPr>
        <w:pStyle w:val="Heading1"/>
      </w:pPr>
      <w:bookmarkStart w:id="20" w:name="_Toc479002005"/>
      <w:bookmarkStart w:id="21" w:name="_Toc477433458"/>
      <w:bookmarkStart w:id="22" w:name="_Toc507169458"/>
      <w:bookmarkStart w:id="23" w:name="_Toc507169587"/>
      <w:bookmarkStart w:id="24" w:name="_Toc507169912"/>
      <w:bookmarkStart w:id="25" w:name="_Toc507170348"/>
      <w:bookmarkStart w:id="26" w:name="_Toc507170694"/>
      <w:bookmarkStart w:id="27" w:name="_Toc507171290"/>
      <w:bookmarkStart w:id="28" w:name="_Toc507171651"/>
      <w:bookmarkStart w:id="29" w:name="_Toc507772162"/>
      <w:bookmarkStart w:id="30" w:name="_Toc507772549"/>
      <w:bookmarkStart w:id="31" w:name="_Toc508315387"/>
      <w:bookmarkStart w:id="32" w:name="_Toc508315974"/>
      <w:bookmarkStart w:id="33" w:name="_Toc511290787"/>
      <w:bookmarkStart w:id="34" w:name="_Toc511291579"/>
      <w:bookmarkStart w:id="35" w:name="_Toc5614027"/>
      <w:r w:rsidRPr="00B57342">
        <w:t>Background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C7C4A" w:rsidP="00DB2ECD" w14:paraId="3AFF051A" w14:textId="77777777">
      <w:pPr>
        <w:pStyle w:val="ParaNum"/>
        <w:widowControl w:val="0"/>
        <w:numPr>
          <w:ilvl w:val="0"/>
          <w:numId w:val="0"/>
        </w:numPr>
        <w:rPr>
          <w:rFonts w:cs="Times New Roman"/>
        </w:rPr>
      </w:pPr>
      <w:r>
        <w:rPr>
          <w:rFonts w:cs="Times New Roman"/>
        </w:rPr>
        <w:t xml:space="preserve">WEA </w:t>
      </w:r>
      <w:r w:rsidR="00A163F0">
        <w:rPr>
          <w:rFonts w:cs="Times New Roman"/>
        </w:rPr>
        <w:t xml:space="preserve">and EAS </w:t>
      </w:r>
      <w:r>
        <w:rPr>
          <w:rFonts w:cs="Times New Roman"/>
        </w:rPr>
        <w:t xml:space="preserve">are invaluable communications </w:t>
      </w:r>
      <w:r w:rsidR="005D18BE">
        <w:rPr>
          <w:rFonts w:cs="Times New Roman"/>
        </w:rPr>
        <w:t xml:space="preserve">alerting </w:t>
      </w:r>
      <w:r>
        <w:rPr>
          <w:rFonts w:cs="Times New Roman"/>
        </w:rPr>
        <w:t>tools</w:t>
      </w:r>
      <w:r w:rsidR="00660AEA">
        <w:rPr>
          <w:rFonts w:cs="Times New Roman"/>
        </w:rPr>
        <w:t xml:space="preserve">.  They </w:t>
      </w:r>
      <w:r w:rsidR="005D18BE">
        <w:rPr>
          <w:rFonts w:cs="Times New Roman"/>
        </w:rPr>
        <w:t xml:space="preserve">provide </w:t>
      </w:r>
      <w:r>
        <w:rPr>
          <w:rFonts w:cs="Times New Roman"/>
        </w:rPr>
        <w:t xml:space="preserve">the President </w:t>
      </w:r>
      <w:r w:rsidR="005D18BE">
        <w:rPr>
          <w:rFonts w:cs="Times New Roman"/>
        </w:rPr>
        <w:t xml:space="preserve">a means </w:t>
      </w:r>
      <w:r>
        <w:rPr>
          <w:rFonts w:cs="Times New Roman"/>
        </w:rPr>
        <w:t xml:space="preserve">to address the American public during </w:t>
      </w:r>
      <w:r w:rsidR="008965CA">
        <w:rPr>
          <w:rFonts w:cs="Times New Roman"/>
        </w:rPr>
        <w:t>times of</w:t>
      </w:r>
      <w:r>
        <w:rPr>
          <w:rFonts w:cs="Times New Roman"/>
        </w:rPr>
        <w:t xml:space="preserve"> national emergency.</w:t>
      </w:r>
      <w:r w:rsidR="008965CA">
        <w:rPr>
          <w:rFonts w:cs="Times New Roman"/>
        </w:rPr>
        <w:t xml:space="preserve"> </w:t>
      </w:r>
      <w:r>
        <w:rPr>
          <w:rFonts w:cs="Times New Roman"/>
        </w:rPr>
        <w:t xml:space="preserve"> </w:t>
      </w:r>
      <w:r w:rsidR="00660AEA">
        <w:rPr>
          <w:rFonts w:cs="Times New Roman"/>
        </w:rPr>
        <w:t xml:space="preserve">They also </w:t>
      </w:r>
      <w:r w:rsidR="008965CA">
        <w:rPr>
          <w:rFonts w:cs="Times New Roman"/>
        </w:rPr>
        <w:t xml:space="preserve">provide </w:t>
      </w:r>
      <w:r w:rsidR="00660AEA">
        <w:rPr>
          <w:rFonts w:cs="Times New Roman"/>
        </w:rPr>
        <w:t>authorized state and local alert originators</w:t>
      </w:r>
      <w:r>
        <w:rPr>
          <w:rStyle w:val="FootnoteReference"/>
        </w:rPr>
        <w:footnoteReference w:id="8"/>
      </w:r>
      <w:r w:rsidR="00660AEA">
        <w:rPr>
          <w:rFonts w:cs="Times New Roman"/>
        </w:rPr>
        <w:t xml:space="preserve"> </w:t>
      </w:r>
      <w:r w:rsidR="008965CA">
        <w:rPr>
          <w:rFonts w:cs="Times New Roman"/>
        </w:rPr>
        <w:t>a</w:t>
      </w:r>
      <w:r w:rsidR="00770493">
        <w:rPr>
          <w:rFonts w:cs="Times New Roman"/>
        </w:rPr>
        <w:t>n effective</w:t>
      </w:r>
      <w:r w:rsidR="008965CA">
        <w:rPr>
          <w:rFonts w:cs="Times New Roman"/>
        </w:rPr>
        <w:t xml:space="preserve"> means </w:t>
      </w:r>
      <w:r w:rsidR="00660AEA">
        <w:rPr>
          <w:rFonts w:cs="Times New Roman"/>
        </w:rPr>
        <w:t>to transmit local and or state</w:t>
      </w:r>
      <w:r w:rsidR="008965CA">
        <w:rPr>
          <w:rFonts w:cs="Times New Roman"/>
        </w:rPr>
        <w:t>wide</w:t>
      </w:r>
      <w:r w:rsidR="00660AEA">
        <w:rPr>
          <w:rFonts w:cs="Times New Roman"/>
        </w:rPr>
        <w:t xml:space="preserve"> emergency information, </w:t>
      </w:r>
      <w:r w:rsidR="001F21EA">
        <w:rPr>
          <w:rFonts w:cs="Times New Roman"/>
        </w:rPr>
        <w:t>such as severe weather alerts and A</w:t>
      </w:r>
      <w:r w:rsidR="00981CD2">
        <w:rPr>
          <w:rFonts w:cs="Times New Roman"/>
        </w:rPr>
        <w:t>merica’s Missing: Broadcast Emergency Response (A</w:t>
      </w:r>
      <w:r w:rsidR="001F21EA">
        <w:rPr>
          <w:rFonts w:cs="Times New Roman"/>
        </w:rPr>
        <w:t>MBER</w:t>
      </w:r>
      <w:r w:rsidR="00981CD2">
        <w:rPr>
          <w:rFonts w:cs="Times New Roman"/>
        </w:rPr>
        <w:t>)</w:t>
      </w:r>
      <w:r w:rsidR="001F21EA">
        <w:rPr>
          <w:rFonts w:cs="Times New Roman"/>
        </w:rPr>
        <w:t xml:space="preserve"> Alerts.</w:t>
      </w:r>
      <w:r>
        <w:rPr>
          <w:rStyle w:val="FootnoteReference"/>
        </w:rPr>
        <w:footnoteReference w:id="9"/>
      </w:r>
      <w:r w:rsidR="001F21EA">
        <w:rPr>
          <w:rFonts w:cs="Times New Roman"/>
        </w:rPr>
        <w:t xml:space="preserve">  The Commission, in conjunction with FEMA and the NWS, implement WEA</w:t>
      </w:r>
      <w:r w:rsidR="005577D2">
        <w:rPr>
          <w:rFonts w:cs="Times New Roman"/>
        </w:rPr>
        <w:t xml:space="preserve"> and EAS</w:t>
      </w:r>
      <w:r w:rsidR="001F21EA">
        <w:rPr>
          <w:rFonts w:cs="Times New Roman"/>
        </w:rPr>
        <w:t xml:space="preserve"> at the federal level.  </w:t>
      </w:r>
    </w:p>
    <w:p w:rsidR="00405018" w:rsidRPr="00463662" w:rsidP="00DB2ECD" w14:paraId="64739394" w14:textId="514A490C">
      <w:pPr>
        <w:pStyle w:val="ParaNum"/>
        <w:widowControl w:val="0"/>
        <w:numPr>
          <w:ilvl w:val="0"/>
          <w:numId w:val="0"/>
        </w:numPr>
        <w:rPr>
          <w:rFonts w:cs="Times New Roman"/>
          <w:i/>
        </w:rPr>
      </w:pPr>
      <w:r>
        <w:rPr>
          <w:rFonts w:cs="Times New Roman"/>
          <w:i/>
        </w:rPr>
        <w:t xml:space="preserve">WEA.  </w:t>
      </w:r>
      <w:r>
        <w:rPr>
          <w:rFonts w:cs="Times New Roman"/>
        </w:rPr>
        <w:t xml:space="preserve">WEA </w:t>
      </w:r>
      <w:r w:rsidR="00AA442E">
        <w:rPr>
          <w:rFonts w:cs="Times New Roman"/>
        </w:rPr>
        <w:t xml:space="preserve">enables </w:t>
      </w:r>
      <w:r w:rsidR="0029492A">
        <w:rPr>
          <w:rFonts w:cs="Times New Roman"/>
        </w:rPr>
        <w:t>authorized alert originators</w:t>
      </w:r>
      <w:r w:rsidR="00424FE5">
        <w:rPr>
          <w:rFonts w:cs="Times New Roman"/>
        </w:rPr>
        <w:t xml:space="preserve"> </w:t>
      </w:r>
      <w:r w:rsidR="00D70275">
        <w:rPr>
          <w:rFonts w:cs="Times New Roman"/>
        </w:rPr>
        <w:t xml:space="preserve">to </w:t>
      </w:r>
      <w:r w:rsidRPr="00D70275" w:rsidR="00D70275">
        <w:rPr>
          <w:rFonts w:cs="Times New Roman"/>
        </w:rPr>
        <w:t xml:space="preserve">deliver </w:t>
      </w:r>
      <w:r w:rsidR="00D70275">
        <w:rPr>
          <w:rFonts w:cs="Times New Roman"/>
        </w:rPr>
        <w:t xml:space="preserve">geographically targeted </w:t>
      </w:r>
      <w:r w:rsidRPr="00D70275" w:rsidR="00D70275">
        <w:rPr>
          <w:rFonts w:cs="Times New Roman"/>
        </w:rPr>
        <w:t>critical warning</w:t>
      </w:r>
      <w:r w:rsidR="00D70275">
        <w:rPr>
          <w:rFonts w:cs="Times New Roman"/>
        </w:rPr>
        <w:t>s</w:t>
      </w:r>
      <w:r w:rsidRPr="00D70275" w:rsidR="00D70275">
        <w:rPr>
          <w:rFonts w:cs="Times New Roman"/>
        </w:rPr>
        <w:t xml:space="preserve"> and information to the public on their </w:t>
      </w:r>
      <w:r>
        <w:rPr>
          <w:rFonts w:cs="Times New Roman"/>
        </w:rPr>
        <w:t>WEA-capable mobile devices</w:t>
      </w:r>
      <w:r w:rsidR="00D70275">
        <w:rPr>
          <w:rFonts w:cs="Times New Roman"/>
        </w:rPr>
        <w:t>.</w:t>
      </w:r>
      <w:r>
        <w:rPr>
          <w:rFonts w:cs="Times New Roman"/>
        </w:rPr>
        <w:t xml:space="preserve"> </w:t>
      </w:r>
      <w:r w:rsidR="00D70275">
        <w:rPr>
          <w:rFonts w:cs="Times New Roman"/>
        </w:rPr>
        <w:t xml:space="preserve"> </w:t>
      </w:r>
      <w:r>
        <w:rPr>
          <w:rFonts w:cs="Times New Roman"/>
        </w:rPr>
        <w:t>This process begins when the</w:t>
      </w:r>
      <w:r w:rsidR="00654DD4">
        <w:rPr>
          <w:rFonts w:cs="Times New Roman"/>
        </w:rPr>
        <w:t xml:space="preserve"> </w:t>
      </w:r>
      <w:r w:rsidR="006B74A7">
        <w:rPr>
          <w:rFonts w:cs="Times New Roman"/>
        </w:rPr>
        <w:t>alert originator sends a WEA Alert Message</w:t>
      </w:r>
      <w:r>
        <w:rPr>
          <w:rFonts w:cs="Times New Roman"/>
        </w:rPr>
        <w:t>,</w:t>
      </w:r>
      <w:r>
        <w:rPr>
          <w:rStyle w:val="FootnoteReference"/>
        </w:rPr>
        <w:footnoteReference w:id="10"/>
      </w:r>
      <w:r>
        <w:rPr>
          <w:rFonts w:cs="Times New Roman"/>
        </w:rPr>
        <w:t xml:space="preserve"> </w:t>
      </w:r>
      <w:r w:rsidR="006B74A7">
        <w:rPr>
          <w:rFonts w:cs="Times New Roman"/>
        </w:rPr>
        <w:t>using FEMA-approved alert origination software in the CAP</w:t>
      </w:r>
      <w:r>
        <w:rPr>
          <w:rFonts w:cs="Times New Roman"/>
        </w:rPr>
        <w:t>,</w:t>
      </w:r>
      <w:r w:rsidR="006B74A7">
        <w:rPr>
          <w:rFonts w:cs="Times New Roman"/>
        </w:rPr>
        <w:t xml:space="preserve"> to IPAWS.  Through IPAWS, the Alert Message is authenticated, validated</w:t>
      </w:r>
      <w:r>
        <w:rPr>
          <w:rFonts w:cs="Times New Roman"/>
        </w:rPr>
        <w:t>,</w:t>
      </w:r>
      <w:r w:rsidR="006B74A7">
        <w:rPr>
          <w:rFonts w:cs="Times New Roman"/>
        </w:rPr>
        <w:t xml:space="preserve"> and delivered to FEMA’s Alert Gateway for dissemination to Participating CMS Providers’ Alert Gateways, where it is then transmitted t</w:t>
      </w:r>
      <w:r>
        <w:rPr>
          <w:rFonts w:cs="Times New Roman"/>
        </w:rPr>
        <w:t xml:space="preserve">o the mobile </w:t>
      </w:r>
      <w:r w:rsidR="006B74A7">
        <w:rPr>
          <w:rFonts w:cs="Times New Roman"/>
        </w:rPr>
        <w:t xml:space="preserve">subscribers’ WEA-capable devices.  </w:t>
      </w:r>
      <w:r w:rsidR="00E21A69">
        <w:t>CMS Provider participation in WEA is voluntary</w:t>
      </w:r>
      <w:r w:rsidR="00D70275">
        <w:t xml:space="preserve">, and a </w:t>
      </w:r>
      <w:r w:rsidR="00E21A69">
        <w:t>CMS Provider may elect to participate in WEA “in whole” or “in part” by filing an election letter with the Commission.</w:t>
      </w:r>
      <w:r>
        <w:rPr>
          <w:rStyle w:val="FootnoteReference"/>
        </w:rPr>
        <w:footnoteReference w:id="11"/>
      </w:r>
      <w:r w:rsidR="00E21A69">
        <w:t xml:space="preserve">  All Participating CMS Providers are required to participate in the </w:t>
      </w:r>
      <w:r w:rsidR="00876642">
        <w:t>n</w:t>
      </w:r>
      <w:r w:rsidR="00E21A69">
        <w:t xml:space="preserve">ationwide WEA </w:t>
      </w:r>
      <w:r w:rsidR="00876642">
        <w:t>t</w:t>
      </w:r>
      <w:r w:rsidR="00E21A69">
        <w:t>est, to the fullest extent of their elected participation status.</w:t>
      </w:r>
      <w:r>
        <w:rPr>
          <w:rStyle w:val="FootnoteReference"/>
        </w:rPr>
        <w:footnoteReference w:id="12"/>
      </w:r>
      <w:r w:rsidR="00E21A69">
        <w:t xml:space="preserve">  </w:t>
      </w:r>
      <w:r>
        <w:rPr>
          <w:rFonts w:cs="Times New Roman"/>
        </w:rPr>
        <w:t>As of March 4, 2019, WEA has been used to issue nearly 44,000 emergency alerts, including severe weather warnings, evacuate and shelter-in-place alerts, and AMBER Alerts</w:t>
      </w:r>
      <w:r>
        <w:rPr>
          <w:rStyle w:val="FootnoteReference"/>
        </w:rPr>
        <w:footnoteReference w:id="13"/>
      </w:r>
      <w:r>
        <w:rPr>
          <w:rFonts w:cs="Times New Roman"/>
        </w:rPr>
        <w:t xml:space="preserve"> since it was deployed in April 2012.</w:t>
      </w:r>
      <w:r>
        <w:rPr>
          <w:rStyle w:val="FootnoteReference"/>
        </w:rPr>
        <w:footnoteReference w:id="14"/>
      </w:r>
      <w:r>
        <w:rPr>
          <w:rFonts w:cs="Times New Roman"/>
        </w:rPr>
        <w:t xml:space="preserve">  More information about WEA can be found in the Appendix.</w:t>
      </w:r>
    </w:p>
    <w:p w:rsidR="002C7C4A" w:rsidRPr="000D1E0E" w:rsidP="00463662" w14:paraId="40F18C80" w14:textId="77777777">
      <w:pPr>
        <w:pStyle w:val="ParaNum"/>
        <w:widowControl w:val="0"/>
        <w:numPr>
          <w:ilvl w:val="0"/>
          <w:numId w:val="0"/>
        </w:numPr>
        <w:spacing w:before="120" w:after="100" w:afterAutospacing="1"/>
        <w:rPr>
          <w:rFonts w:cs="Times New Roman"/>
        </w:rPr>
      </w:pPr>
      <w:r>
        <w:rPr>
          <w:rFonts w:cs="Times New Roman"/>
          <w:i/>
        </w:rPr>
        <w:t xml:space="preserve">EAS.  </w:t>
      </w:r>
      <w:r w:rsidR="00033051">
        <w:rPr>
          <w:rFonts w:cs="Times New Roman"/>
        </w:rPr>
        <w:t xml:space="preserve">The </w:t>
      </w:r>
      <w:r w:rsidRPr="209B057E" w:rsidR="00033051">
        <w:rPr>
          <w:rFonts w:cs="Times New Roman"/>
        </w:rPr>
        <w:t>EAS</w:t>
      </w:r>
      <w:r w:rsidRPr="00CA558A" w:rsidR="00033051">
        <w:rPr>
          <w:rFonts w:cs="Times New Roman"/>
        </w:rPr>
        <w:t xml:space="preserve"> provides the President with the capability to communicate with the public during a national emergency via live audio transmission.  FCC rules require EAS Participants to have the capability to recei</w:t>
      </w:r>
      <w:r w:rsidRPr="00E8353C" w:rsidR="00033051">
        <w:rPr>
          <w:rFonts w:cs="Times New Roman"/>
        </w:rPr>
        <w:t>ve and transmit Presidential Alerts disseminated over the EAS.</w:t>
      </w:r>
      <w:r>
        <w:rPr>
          <w:rStyle w:val="FootnoteReference"/>
        </w:rPr>
        <w:footnoteReference w:id="15"/>
      </w:r>
      <w:r w:rsidRPr="00E8353C" w:rsidR="00033051">
        <w:rPr>
          <w:rFonts w:cs="Times New Roman"/>
        </w:rPr>
        <w:t xml:space="preserve">  There are two methods by which EAS alerts may be distributed.  Under the traditional, broadcast-based “legacy” structure, the EAS transmits an alert through a pre-established hierarchy of broadcast, cable, and satellite systems</w:t>
      </w:r>
      <w:r w:rsidR="00C16B52">
        <w:rPr>
          <w:rFonts w:cs="Times New Roman"/>
        </w:rPr>
        <w:t xml:space="preserve"> using </w:t>
      </w:r>
      <w:r w:rsidR="00DE2605">
        <w:rPr>
          <w:rFonts w:cs="Times New Roman"/>
        </w:rPr>
        <w:t>the EAS Protocol</w:t>
      </w:r>
      <w:r w:rsidR="00C16B52">
        <w:rPr>
          <w:rFonts w:cs="Times New Roman"/>
        </w:rPr>
        <w:t xml:space="preserve">, a simple digital messaging protocol that </w:t>
      </w:r>
      <w:r w:rsidR="00DE2605">
        <w:rPr>
          <w:rFonts w:cs="Times New Roman"/>
        </w:rPr>
        <w:t>delivers basic alert elements over the air.</w:t>
      </w:r>
      <w:r>
        <w:rPr>
          <w:rStyle w:val="FootnoteReference"/>
        </w:rPr>
        <w:footnoteReference w:id="16"/>
      </w:r>
      <w:r w:rsidR="00DE2605">
        <w:rPr>
          <w:rFonts w:cs="Times New Roman"/>
        </w:rPr>
        <w:t xml:space="preserve">  </w:t>
      </w:r>
      <w:r w:rsidRPr="0035450D" w:rsidR="00033051">
        <w:rPr>
          <w:rFonts w:cs="Times New Roman"/>
          <w:kern w:val="3"/>
        </w:rPr>
        <w:t xml:space="preserve">EAS alerts </w:t>
      </w:r>
      <w:r w:rsidR="00DE2605">
        <w:rPr>
          <w:rFonts w:cs="Times New Roman"/>
          <w:kern w:val="3"/>
        </w:rPr>
        <w:t xml:space="preserve">that are formatted in the more sophisticated </w:t>
      </w:r>
      <w:r w:rsidR="00A150FE">
        <w:rPr>
          <w:rFonts w:cs="Times New Roman"/>
          <w:kern w:val="3"/>
        </w:rPr>
        <w:t>CAP</w:t>
      </w:r>
      <w:r w:rsidR="00DE2605">
        <w:rPr>
          <w:rFonts w:cs="Times New Roman"/>
          <w:kern w:val="3"/>
        </w:rPr>
        <w:t xml:space="preserve"> are </w:t>
      </w:r>
      <w:r w:rsidRPr="0035450D" w:rsidR="00033051">
        <w:rPr>
          <w:rFonts w:cs="Times New Roman"/>
          <w:kern w:val="3"/>
        </w:rPr>
        <w:t xml:space="preserve">distributed over the Internet through IPAWS.  </w:t>
      </w:r>
      <w:r w:rsidRPr="209B057E" w:rsidR="00033051">
        <w:rPr>
          <w:rFonts w:cs="Times New Roman"/>
        </w:rPr>
        <w:t xml:space="preserve">CAP-formatted alerts initiated through IPAWS can include audio, video or data files, images, </w:t>
      </w:r>
      <w:r w:rsidR="00D260AD">
        <w:rPr>
          <w:rFonts w:cs="Times New Roman"/>
        </w:rPr>
        <w:t>non-English</w:t>
      </w:r>
      <w:r w:rsidRPr="209B057E" w:rsidR="00D260AD">
        <w:rPr>
          <w:rFonts w:cs="Times New Roman"/>
        </w:rPr>
        <w:t xml:space="preserve"> </w:t>
      </w:r>
      <w:r w:rsidRPr="209B057E" w:rsidR="00033051">
        <w:rPr>
          <w:rFonts w:cs="Times New Roman"/>
        </w:rPr>
        <w:t>transl</w:t>
      </w:r>
      <w:r w:rsidRPr="00C9216E" w:rsidR="00033051">
        <w:rPr>
          <w:rFonts w:cs="Times New Roman"/>
        </w:rPr>
        <w:t>ations of alerts, and links providing detailed information.</w:t>
      </w:r>
      <w:r>
        <w:rPr>
          <w:rStyle w:val="FootnoteReference"/>
        </w:rPr>
        <w:footnoteReference w:id="17"/>
      </w:r>
      <w:r w:rsidRPr="0064034D" w:rsidR="00033051">
        <w:rPr>
          <w:rFonts w:cs="Times New Roman"/>
        </w:rPr>
        <w:t xml:space="preserve">  </w:t>
      </w:r>
      <w:r w:rsidR="00D260AD">
        <w:rPr>
          <w:rFonts w:cs="Times New Roman"/>
        </w:rPr>
        <w:t xml:space="preserve">The </w:t>
      </w:r>
      <w:r w:rsidRPr="0064034D" w:rsidR="00033051">
        <w:rPr>
          <w:rFonts w:cs="Times New Roman"/>
        </w:rPr>
        <w:t>Appendix contains additional information about the EAS.</w:t>
      </w:r>
      <w:bookmarkStart w:id="37" w:name="_Toc476920608"/>
      <w:bookmarkEnd w:id="37"/>
      <w:r w:rsidRPr="0064034D" w:rsidR="00033051">
        <w:rPr>
          <w:rFonts w:cs="Times New Roman"/>
        </w:rPr>
        <w:t xml:space="preserve">  </w:t>
      </w:r>
    </w:p>
    <w:p w:rsidR="00405018" w:rsidP="00463662" w14:paraId="0DA7EE62" w14:textId="77777777">
      <w:pPr>
        <w:pStyle w:val="Heading1"/>
        <w:spacing w:before="120" w:after="0"/>
      </w:pPr>
      <w:bookmarkStart w:id="38" w:name="_Toc5614028"/>
      <w:bookmarkStart w:id="39" w:name="_Toc477433264"/>
      <w:bookmarkStart w:id="40" w:name="_Toc477433262"/>
      <w:bookmarkStart w:id="41" w:name="_Toc477433461"/>
      <w:bookmarkStart w:id="42" w:name="_Toc507170696"/>
      <w:bookmarkStart w:id="43" w:name="_Toc507171292"/>
      <w:bookmarkStart w:id="44" w:name="_Toc507171653"/>
      <w:bookmarkStart w:id="45" w:name="_Toc479002008"/>
      <w:bookmarkStart w:id="46" w:name="_Toc507169460"/>
      <w:bookmarkStart w:id="47" w:name="_Toc507169589"/>
      <w:bookmarkStart w:id="48" w:name="_Toc507169914"/>
      <w:bookmarkStart w:id="49" w:name="_Toc507170350"/>
      <w:bookmarkStart w:id="50" w:name="_Toc507772163"/>
      <w:bookmarkStart w:id="51" w:name="_Toc507772550"/>
      <w:bookmarkStart w:id="52" w:name="_Toc508315388"/>
      <w:bookmarkStart w:id="53" w:name="_Toc508315975"/>
      <w:bookmarkStart w:id="54" w:name="_Toc511290788"/>
      <w:bookmarkStart w:id="55" w:name="_Toc511291580"/>
      <w:r>
        <w:t>the 2018 nationwide wea test</w:t>
      </w:r>
      <w:bookmarkEnd w:id="38"/>
    </w:p>
    <w:p w:rsidR="00405018" w:rsidP="00A0777D" w14:paraId="7E70DDF2" w14:textId="77777777">
      <w:pPr>
        <w:pStyle w:val="Heading2"/>
      </w:pPr>
      <w:bookmarkStart w:id="56" w:name="_Toc5614029"/>
      <w:r>
        <w:t>The Parameters of the Nationwide WEA Test</w:t>
      </w:r>
      <w:bookmarkEnd w:id="56"/>
    </w:p>
    <w:p w:rsidR="00405018" w:rsidRPr="00DD4A70" w:rsidP="00985EA8" w14:paraId="4AFF7D88" w14:textId="77777777">
      <w:pPr>
        <w:pStyle w:val="ParaNum"/>
        <w:numPr>
          <w:ilvl w:val="0"/>
          <w:numId w:val="0"/>
        </w:numPr>
        <w:spacing w:before="120"/>
        <w:rPr>
          <w:szCs w:val="22"/>
        </w:rPr>
      </w:pPr>
      <w:r>
        <w:rPr>
          <w:szCs w:val="22"/>
        </w:rPr>
        <w:t xml:space="preserve">This test marks the </w:t>
      </w:r>
      <w:r>
        <w:rPr>
          <w:szCs w:val="22"/>
        </w:rPr>
        <w:t>first nationwide end-to-end test of the WEA system.</w:t>
      </w:r>
      <w:r>
        <w:rPr>
          <w:rStyle w:val="FootnoteReference"/>
          <w:szCs w:val="22"/>
        </w:rPr>
        <w:footnoteReference w:id="18"/>
      </w:r>
      <w:r>
        <w:rPr>
          <w:szCs w:val="22"/>
        </w:rPr>
        <w:t xml:space="preserve">  The test message stated: “THIS IS A TEST of the National Wireless Emergency Alert System.  No action is needed.”  </w:t>
      </w:r>
      <w:r>
        <w:rPr>
          <w:szCs w:val="22"/>
        </w:rPr>
        <w:t>T</w:t>
      </w:r>
      <w:r>
        <w:rPr>
          <w:szCs w:val="22"/>
        </w:rPr>
        <w:t xml:space="preserve">he test message was delivered </w:t>
      </w:r>
      <w:r>
        <w:rPr>
          <w:szCs w:val="22"/>
        </w:rPr>
        <w:t xml:space="preserve">through IPAWS </w:t>
      </w:r>
      <w:r>
        <w:rPr>
          <w:szCs w:val="22"/>
        </w:rPr>
        <w:t>to Participating CMS Providers’ Alert Gateways</w:t>
      </w:r>
      <w:r>
        <w:rPr>
          <w:rFonts w:cs="Times New Roman"/>
        </w:rPr>
        <w:t>, where it was then transmitted to their subscribers’ WEA-capable devices across the nation.</w:t>
      </w:r>
      <w:r>
        <w:rPr>
          <w:rStyle w:val="FootnoteReference"/>
          <w:szCs w:val="22"/>
        </w:rPr>
        <w:footnoteReference w:id="19"/>
      </w:r>
    </w:p>
    <w:p w:rsidR="00405018" w:rsidP="00A0777D" w14:paraId="467FA48B" w14:textId="77777777">
      <w:pPr>
        <w:pStyle w:val="Heading2"/>
      </w:pPr>
      <w:bookmarkStart w:id="57" w:name="_Toc5614030"/>
      <w:r>
        <w:t>Key Observations from the Nationwide WEA Test</w:t>
      </w:r>
      <w:bookmarkEnd w:id="57"/>
    </w:p>
    <w:p w:rsidR="00405018" w:rsidP="00B77410" w14:paraId="29D8560B" w14:textId="05BAD96F">
      <w:pPr>
        <w:pStyle w:val="ParaNum"/>
        <w:numPr>
          <w:ilvl w:val="0"/>
          <w:numId w:val="0"/>
        </w:numPr>
        <w:spacing w:before="120"/>
      </w:pPr>
      <w:r>
        <w:t>In order</w:t>
      </w:r>
      <w:r>
        <w:t xml:space="preserve"> to</w:t>
      </w:r>
      <w:r>
        <w:t xml:space="preserve"> </w:t>
      </w:r>
      <w:r w:rsidR="006853E1">
        <w:t>evaluate the efficacy of</w:t>
      </w:r>
      <w:r>
        <w:t xml:space="preserve"> </w:t>
      </w:r>
      <w:r w:rsidR="00703FE6">
        <w:t xml:space="preserve">the </w:t>
      </w:r>
      <w:r>
        <w:t>WEA test message during the nationwide test, PSHSB reviewed data from a variety of sources</w:t>
      </w:r>
      <w:r w:rsidR="00E21A69">
        <w:t xml:space="preserve">, </w:t>
      </w:r>
      <w:r w:rsidR="006853E1">
        <w:t>and m</w:t>
      </w:r>
      <w:r>
        <w:t xml:space="preserve">embers of the public were encouraged to share feedback regarding the receipt of the test message.  Based on this information, we summarize our key observations from the 2018 </w:t>
      </w:r>
      <w:r w:rsidR="00055078">
        <w:t>n</w:t>
      </w:r>
      <w:r>
        <w:t xml:space="preserve">ationwide WEA </w:t>
      </w:r>
      <w:r w:rsidR="00055078">
        <w:t>t</w:t>
      </w:r>
      <w:r>
        <w:t xml:space="preserve">est.  </w:t>
      </w:r>
    </w:p>
    <w:p w:rsidR="00405018" w:rsidP="00405018" w14:paraId="6B69ACE6" w14:textId="5786A3FA">
      <w:pPr>
        <w:pStyle w:val="ParaNum"/>
        <w:numPr>
          <w:ilvl w:val="0"/>
          <w:numId w:val="0"/>
        </w:numPr>
      </w:pPr>
      <w:bookmarkStart w:id="58" w:name="_Toc3540054"/>
      <w:bookmarkStart w:id="59" w:name="_Toc3544534"/>
      <w:bookmarkStart w:id="60" w:name="_Toc3554195"/>
      <w:bookmarkStart w:id="61" w:name="_Toc3801279"/>
      <w:bookmarkStart w:id="62" w:name="_Toc3540055"/>
      <w:bookmarkStart w:id="63" w:name="_Toc3544535"/>
      <w:bookmarkStart w:id="64" w:name="_Toc3554196"/>
      <w:bookmarkStart w:id="65" w:name="_Toc3801280"/>
      <w:bookmarkEnd w:id="58"/>
      <w:bookmarkEnd w:id="59"/>
      <w:bookmarkEnd w:id="60"/>
      <w:bookmarkEnd w:id="61"/>
      <w:bookmarkEnd w:id="62"/>
      <w:bookmarkEnd w:id="63"/>
      <w:bookmarkEnd w:id="64"/>
      <w:bookmarkEnd w:id="65"/>
      <w:r>
        <w:t>Several local emergency management agencies and other entities conducted informal surveys via email, social media, and the Internet to determine whether respondents received the WEA test message.  Although individual survey</w:t>
      </w:r>
      <w:r w:rsidR="00E21A69">
        <w:t>s</w:t>
      </w:r>
      <w:r>
        <w:t xml:space="preserve"> vary based on sample size, location, and response rates, </w:t>
      </w:r>
      <w:r w:rsidR="001102DE">
        <w:t xml:space="preserve">most people </w:t>
      </w:r>
      <w:r>
        <w:t>reported</w:t>
      </w:r>
      <w:r w:rsidR="001102DE">
        <w:t xml:space="preserve"> successfully</w:t>
      </w:r>
      <w:r>
        <w:t xml:space="preserve"> receiving the WEA test message.</w:t>
      </w:r>
      <w:r>
        <w:rPr>
          <w:rStyle w:val="FootnoteReference"/>
        </w:rPr>
        <w:footnoteReference w:id="20"/>
      </w:r>
    </w:p>
    <w:p w:rsidR="00405018" w:rsidP="00405018" w14:paraId="501AE9A4" w14:textId="09A6D258">
      <w:pPr>
        <w:pStyle w:val="ParaNum"/>
        <w:numPr>
          <w:ilvl w:val="0"/>
          <w:numId w:val="0"/>
        </w:numPr>
      </w:pPr>
      <w:r>
        <w:t>Relevant survey data</w:t>
      </w:r>
      <w:r w:rsidRPr="004F4397">
        <w:t xml:space="preserve"> are described below</w:t>
      </w:r>
      <w:r>
        <w:t>:</w:t>
      </w:r>
    </w:p>
    <w:p w:rsidR="00405018" w:rsidP="00405018" w14:paraId="33821C9C" w14:textId="082E2A03">
      <w:pPr>
        <w:pStyle w:val="ParaNum"/>
        <w:numPr>
          <w:ilvl w:val="0"/>
          <w:numId w:val="7"/>
        </w:numPr>
      </w:pPr>
      <w:r>
        <w:t>The New York City Emergency Management Department (NYCEM) administered its survey via Notify NYC, social media, and partner engagement.</w:t>
      </w:r>
      <w:r>
        <w:rPr>
          <w:rStyle w:val="FootnoteReference"/>
        </w:rPr>
        <w:footnoteReference w:id="21"/>
      </w:r>
      <w:r>
        <w:t xml:space="preserve">  NYCEM reported that of 2,351 respondents, 81.4% reported receiving the WEA test message.</w:t>
      </w:r>
      <w:r>
        <w:rPr>
          <w:rStyle w:val="FootnoteReference"/>
        </w:rPr>
        <w:footnoteReference w:id="22"/>
      </w:r>
      <w:r>
        <w:t xml:space="preserve">  Of those that reported receiving the message,</w:t>
      </w:r>
      <w:r>
        <w:rPr>
          <w:rStyle w:val="FootnoteReference"/>
        </w:rPr>
        <w:footnoteReference w:id="23"/>
      </w:r>
      <w:r>
        <w:t xml:space="preserve"> 83% of respondents reported that they received the message within ten minutes.</w:t>
      </w:r>
      <w:r>
        <w:rPr>
          <w:rStyle w:val="FootnoteReference"/>
        </w:rPr>
        <w:footnoteReference w:id="24"/>
      </w:r>
      <w:r>
        <w:t xml:space="preserve">  17.3% reported that they did not receive a WEA message, citing a number of explanations such as spotty wireless service, being on the subway, or turning the phone off or set to airplane mode or “Do Not Disturb”</w:t>
      </w:r>
      <w:r w:rsidR="00E21A69">
        <w:t>;</w:t>
      </w:r>
      <w:r>
        <w:t xml:space="preserve"> however, the vast majority (77%) cited no known reason for not receiving the message.</w:t>
      </w:r>
      <w:r>
        <w:rPr>
          <w:rStyle w:val="FootnoteReference"/>
        </w:rPr>
        <w:footnoteReference w:id="25"/>
      </w:r>
      <w:r>
        <w:t xml:space="preserve">  For those respondents who did not receive a WEA message for no known reason, 29% </w:t>
      </w:r>
      <w:r w:rsidR="00E21A69">
        <w:t>listed</w:t>
      </w:r>
      <w:r>
        <w:t xml:space="preserve"> AT&amp;T as their wireless provider, 24% </w:t>
      </w:r>
      <w:r w:rsidR="00E21A69">
        <w:t>listed</w:t>
      </w:r>
      <w:r>
        <w:t xml:space="preserve"> T-Mobile, 22% </w:t>
      </w:r>
      <w:r w:rsidR="00E21A69">
        <w:t>listed</w:t>
      </w:r>
      <w:r>
        <w:t xml:space="preserve"> Verizon</w:t>
      </w:r>
      <w:r w:rsidR="00C709DB">
        <w:t>, 7% listed Sprint, 10% listed “Other</w:t>
      </w:r>
      <w:r w:rsidR="00C51EDA">
        <w:t>,</w:t>
      </w:r>
      <w:r w:rsidR="00C709DB">
        <w:t>”</w:t>
      </w:r>
      <w:r>
        <w:rPr>
          <w:rStyle w:val="FootnoteReference"/>
        </w:rPr>
        <w:footnoteReference w:id="26"/>
      </w:r>
      <w:r w:rsidR="00C709DB">
        <w:t xml:space="preserve"> and 8% provided no response</w:t>
      </w:r>
      <w:r>
        <w:t>.</w:t>
      </w:r>
      <w:r>
        <w:rPr>
          <w:rStyle w:val="FootnoteReference"/>
        </w:rPr>
        <w:footnoteReference w:id="27"/>
      </w:r>
    </w:p>
    <w:p w:rsidR="00405018" w:rsidP="002C43FF" w14:paraId="38CB4304" w14:textId="3BFEDB21">
      <w:pPr>
        <w:pStyle w:val="ParaNum"/>
        <w:numPr>
          <w:ilvl w:val="0"/>
          <w:numId w:val="7"/>
        </w:numPr>
      </w:pPr>
      <w:r>
        <w:t xml:space="preserve">The alert software vendor Everbridge conducted a detailed survey following the </w:t>
      </w:r>
      <w:r w:rsidR="007500C6">
        <w:t>n</w:t>
      </w:r>
      <w:r>
        <w:t xml:space="preserve">ationwide WEA </w:t>
      </w:r>
      <w:r w:rsidR="007500C6">
        <w:t>t</w:t>
      </w:r>
      <w:r>
        <w:t>est and received responses from over 3,500 people across all 50 states.</w:t>
      </w:r>
      <w:r>
        <w:rPr>
          <w:rStyle w:val="FootnoteReference"/>
        </w:rPr>
        <w:footnoteReference w:id="28"/>
      </w:r>
      <w:r>
        <w:t xml:space="preserve">  83% of respondents said they received the WEA alert on their smartphone, while 15% reported that they did not receive an alert through either WEA or EAS.</w:t>
      </w:r>
      <w:r>
        <w:rPr>
          <w:rStyle w:val="FootnoteReference"/>
        </w:rPr>
        <w:footnoteReference w:id="29"/>
      </w:r>
      <w:r>
        <w:t xml:space="preserve">  Of all survey respondents, 48% reported that their wireless provider is Verizon, followed by AT&amp;T (25%), T-Mobile (11%), and Sprint (8%).</w:t>
      </w:r>
      <w:r>
        <w:rPr>
          <w:rStyle w:val="FootnoteReference"/>
        </w:rPr>
        <w:footnoteReference w:id="30"/>
      </w:r>
      <w:r>
        <w:t xml:space="preserve">  </w:t>
      </w:r>
      <w:r>
        <w:t>Respondents reporting Sprint as their provider also reported the highest percentage of all wireless providers in receiving the alert, at 88%.</w:t>
      </w:r>
      <w:r>
        <w:rPr>
          <w:rStyle w:val="FootnoteReference"/>
        </w:rPr>
        <w:footnoteReference w:id="31"/>
      </w:r>
      <w:r>
        <w:t xml:space="preserve"> </w:t>
      </w:r>
    </w:p>
    <w:p w:rsidR="00405018" w:rsidP="00405018" w14:paraId="68D6CB44" w14:textId="77777777">
      <w:pPr>
        <w:pStyle w:val="ParaNum"/>
        <w:numPr>
          <w:ilvl w:val="0"/>
          <w:numId w:val="7"/>
        </w:numPr>
      </w:pPr>
      <w:r>
        <w:t>The Alaska Division of Homeland Security and Emergency Management conducted an unscientific poll which received over 5,000 responses.  Of those respondents, 52.7% reported that they received the alert.  Respondents’ locations show higher concentrations in Alaska’s urban areas, whereas fewer respondents are scattered across Alaska’s interior.</w:t>
      </w:r>
      <w:r>
        <w:rPr>
          <w:rStyle w:val="FootnoteReference"/>
        </w:rPr>
        <w:footnoteReference w:id="32"/>
      </w:r>
    </w:p>
    <w:p w:rsidR="00405018" w:rsidP="00405018" w14:paraId="385B2157" w14:textId="48B4E91B">
      <w:pPr>
        <w:pStyle w:val="ParaNum"/>
        <w:numPr>
          <w:ilvl w:val="0"/>
          <w:numId w:val="7"/>
        </w:numPr>
      </w:pPr>
      <w:r>
        <w:t xml:space="preserve">The National Association </w:t>
      </w:r>
      <w:r w:rsidR="005E0AE3">
        <w:t>of</w:t>
      </w:r>
      <w:r>
        <w:t xml:space="preserve"> the Deaf (NAD) conducted a survey among the deaf and hard of hearing community on October 9, 2018, following the </w:t>
      </w:r>
      <w:r w:rsidR="007500C6">
        <w:t>n</w:t>
      </w:r>
      <w:r>
        <w:t xml:space="preserve">ationwide WEA </w:t>
      </w:r>
      <w:r w:rsidR="007500C6">
        <w:t>t</w:t>
      </w:r>
      <w:r>
        <w:t>est, and received 199 responses.</w:t>
      </w:r>
      <w:r>
        <w:rPr>
          <w:rStyle w:val="FootnoteReference"/>
        </w:rPr>
        <w:footnoteReference w:id="33"/>
      </w:r>
      <w:r>
        <w:t xml:space="preserve">  The survey results indicate that 70.4% of respondents received the WEA test message.</w:t>
      </w:r>
      <w:r>
        <w:rPr>
          <w:rStyle w:val="FootnoteReference"/>
        </w:rPr>
        <w:footnoteReference w:id="34"/>
      </w:r>
      <w:r>
        <w:t xml:space="preserve">  Of the respondents that indicate</w:t>
      </w:r>
      <w:r w:rsidR="00FB568A">
        <w:t>d</w:t>
      </w:r>
      <w:r>
        <w:t xml:space="preserve"> they </w:t>
      </w:r>
      <w:r w:rsidR="00FB568A">
        <w:t xml:space="preserve">did not </w:t>
      </w:r>
      <w:r>
        <w:t>receive the WEA alert, 42% reported AT&amp;T as their wireless provider, 19% reported Verizon, 17% reported Sprint, 12% reported T-Mobile, and the remaining 10% reported “Other”.</w:t>
      </w:r>
      <w:r>
        <w:rPr>
          <w:rStyle w:val="FootnoteReference"/>
        </w:rPr>
        <w:footnoteReference w:id="35"/>
      </w:r>
      <w:r>
        <w:t xml:space="preserve">  </w:t>
      </w:r>
      <w:r w:rsidR="005E0AE3">
        <w:t>According to NAD, t</w:t>
      </w:r>
      <w:r>
        <w:t xml:space="preserve">hose </w:t>
      </w:r>
      <w:r w:rsidR="005E0AE3">
        <w:t>“</w:t>
      </w:r>
      <w:r w:rsidR="00FB568A">
        <w:t xml:space="preserve">140 </w:t>
      </w:r>
      <w:r>
        <w:t xml:space="preserve">respondents </w:t>
      </w:r>
      <w:r w:rsidR="005E0AE3">
        <w:t>who</w:t>
      </w:r>
      <w:r>
        <w:t xml:space="preserve"> reported receiving the WEA </w:t>
      </w:r>
      <w:r w:rsidR="005E0AE3">
        <w:t>alert</w:t>
      </w:r>
      <w:r>
        <w:t xml:space="preserve"> did not report any accessibility issues.</w:t>
      </w:r>
      <w:r w:rsidR="005E0AE3">
        <w:t>”</w:t>
      </w:r>
      <w:r>
        <w:rPr>
          <w:rStyle w:val="FootnoteReference"/>
        </w:rPr>
        <w:footnoteReference w:id="36"/>
      </w:r>
    </w:p>
    <w:p w:rsidR="00405018" w:rsidRPr="00405018" w:rsidP="00405018" w14:paraId="701E92B9" w14:textId="6C34301E">
      <w:pPr>
        <w:pStyle w:val="ParaNum"/>
        <w:numPr>
          <w:ilvl w:val="0"/>
          <w:numId w:val="0"/>
        </w:numPr>
      </w:pPr>
      <w:r>
        <w:t>PSHSB received feedback from the public through the Public Safety Support Center, which, through the week following the test, received a total of 316 responses.</w:t>
      </w:r>
      <w:r>
        <w:rPr>
          <w:rStyle w:val="FootnoteReference"/>
        </w:rPr>
        <w:footnoteReference w:id="37"/>
      </w:r>
      <w:r>
        <w:t xml:space="preserve">  Of those responses, approximately 61% reported no problems in receiving the WEA test message.  The remaining 39% either did not receive a WEA or received one that had issues including receipt of multiple messages or problems with the tone or vibration cadence.  </w:t>
      </w:r>
      <w:bookmarkStart w:id="66" w:name="_Hlk3204895"/>
      <w:r>
        <w:t xml:space="preserve">The Consumer and Governmental Affairs Bureau (CGB) also received 36 complaints about the </w:t>
      </w:r>
      <w:r w:rsidR="007500C6">
        <w:t>n</w:t>
      </w:r>
      <w:r>
        <w:t xml:space="preserve">ationwide WEA </w:t>
      </w:r>
      <w:r w:rsidR="007500C6">
        <w:t>t</w:t>
      </w:r>
      <w:r>
        <w:t>est.</w:t>
      </w:r>
      <w:bookmarkEnd w:id="66"/>
      <w:r>
        <w:rPr>
          <w:rStyle w:val="FootnoteReference"/>
        </w:rPr>
        <w:footnoteReference w:id="38"/>
      </w:r>
      <w:r>
        <w:t xml:space="preserve">  </w:t>
      </w:r>
      <w:bookmarkStart w:id="68" w:name="_Hlk3204922"/>
      <w:r>
        <w:t>Consumers either submitted a complaint online or called CGB’s call center and an agent submitted a complaint on behalf of a consumer.</w:t>
      </w:r>
      <w:bookmarkEnd w:id="68"/>
      <w:r>
        <w:rPr>
          <w:rStyle w:val="FootnoteReference"/>
        </w:rPr>
        <w:footnoteReference w:id="39"/>
      </w:r>
      <w:r>
        <w:t xml:space="preserve">  </w:t>
      </w:r>
      <w:bookmarkStart w:id="70" w:name="_Hlk3204953"/>
      <w:r>
        <w:t xml:space="preserve">Fourteen complaints offered relevant information regarding the success of the test, two complaints involved EAS issues not related to the national test, and the remainder offered non-substantive political comments.  Of those relevant filings, 10 reported some WEA issues, the vast majority noting they did not receive the alert. </w:t>
      </w:r>
      <w:bookmarkEnd w:id="70"/>
      <w:r>
        <w:t xml:space="preserve"> PSHSB also received additional feedback through incidental emails and reports from FCC staff monitoring the test.  Through the week following the test, PSHSB staff received 55 reports from those who received the alert across all phone types and major providers and 33 reports that the alert was not received.</w:t>
      </w:r>
      <w:r>
        <w:rPr>
          <w:rStyle w:val="FootnoteReference"/>
        </w:rPr>
        <w:footnoteReference w:id="40"/>
      </w:r>
      <w:r>
        <w:t xml:space="preserve">  </w:t>
      </w:r>
    </w:p>
    <w:p w:rsidR="00DB2ECD" w:rsidRPr="00B57342" w:rsidP="00091DBB" w14:paraId="5FEFB638" w14:textId="77777777">
      <w:pPr>
        <w:pStyle w:val="Heading1"/>
      </w:pPr>
      <w:bookmarkStart w:id="71" w:name="_Toc5614031"/>
      <w:r w:rsidRPr="00B57342">
        <w:t>The 201</w:t>
      </w:r>
      <w:r w:rsidR="00EB029D">
        <w:t>8</w:t>
      </w:r>
      <w:r w:rsidRPr="00B57342">
        <w:t xml:space="preserve"> Nationwide EAS</w:t>
      </w:r>
      <w:r w:rsidR="00EB029D">
        <w:t xml:space="preserve"> </w:t>
      </w:r>
      <w:r w:rsidRPr="00B57342">
        <w:t>Test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71"/>
    </w:p>
    <w:p w:rsidR="00DB2ECD" w:rsidRPr="00FC68E8" w:rsidP="00A0777D" w14:paraId="0A2E7BA8" w14:textId="77777777">
      <w:pPr>
        <w:pStyle w:val="Heading2"/>
      </w:pPr>
      <w:bookmarkStart w:id="72" w:name="_Toc477433265"/>
      <w:bookmarkStart w:id="73" w:name="_Toc479002009"/>
      <w:bookmarkStart w:id="74" w:name="_Toc477433464"/>
      <w:bookmarkStart w:id="75" w:name="_Toc507169461"/>
      <w:bookmarkStart w:id="76" w:name="_Toc507169590"/>
      <w:bookmarkStart w:id="77" w:name="_Toc507169915"/>
      <w:bookmarkStart w:id="78" w:name="_Toc507170351"/>
      <w:bookmarkStart w:id="79" w:name="_Toc507170697"/>
      <w:bookmarkStart w:id="80" w:name="_Toc507171293"/>
      <w:bookmarkStart w:id="81" w:name="_Toc507171654"/>
      <w:bookmarkStart w:id="82" w:name="_Toc507772164"/>
      <w:bookmarkStart w:id="83" w:name="_Toc507772551"/>
      <w:bookmarkStart w:id="84" w:name="_Toc508315389"/>
      <w:bookmarkStart w:id="85" w:name="_Toc508315976"/>
      <w:bookmarkStart w:id="86" w:name="_Toc511290789"/>
      <w:bookmarkStart w:id="87" w:name="_Toc511291581"/>
      <w:bookmarkStart w:id="88" w:name="_Toc5614032"/>
      <w:r w:rsidRPr="00FC68E8">
        <w:t>The Parameters of the 201</w:t>
      </w:r>
      <w:r w:rsidR="00EB029D">
        <w:t>8</w:t>
      </w:r>
      <w:r w:rsidRPr="00FC68E8">
        <w:t xml:space="preserve"> Nationwide EAS Test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DB2ECD" w:rsidRPr="00B57342" w:rsidP="007736D7" w14:paraId="344A926E" w14:textId="4D5C09C6">
      <w:pPr>
        <w:pStyle w:val="FootnoteText"/>
        <w:spacing w:before="120" w:after="0"/>
        <w:rPr>
          <w:sz w:val="22"/>
          <w:szCs w:val="22"/>
        </w:rPr>
      </w:pPr>
      <w:r>
        <w:rPr>
          <w:sz w:val="22"/>
          <w:szCs w:val="22"/>
        </w:rPr>
        <w:t xml:space="preserve">FEMA initiated the </w:t>
      </w:r>
      <w:r w:rsidR="007500C6">
        <w:rPr>
          <w:sz w:val="22"/>
          <w:szCs w:val="22"/>
        </w:rPr>
        <w:t>n</w:t>
      </w:r>
      <w:r>
        <w:rPr>
          <w:sz w:val="22"/>
          <w:szCs w:val="22"/>
        </w:rPr>
        <w:t xml:space="preserve">ationwide EAS </w:t>
      </w:r>
      <w:r w:rsidR="007500C6">
        <w:rPr>
          <w:sz w:val="22"/>
          <w:szCs w:val="22"/>
        </w:rPr>
        <w:t>t</w:t>
      </w:r>
      <w:r>
        <w:rPr>
          <w:sz w:val="22"/>
          <w:szCs w:val="22"/>
        </w:rPr>
        <w:t>est by</w:t>
      </w:r>
      <w:r w:rsidRPr="007059AE" w:rsidR="00033051">
        <w:rPr>
          <w:sz w:val="22"/>
          <w:szCs w:val="22"/>
        </w:rPr>
        <w:t xml:space="preserve"> provid</w:t>
      </w:r>
      <w:r>
        <w:rPr>
          <w:sz w:val="22"/>
          <w:szCs w:val="22"/>
        </w:rPr>
        <w:t>ing</w:t>
      </w:r>
      <w:r w:rsidRPr="007059AE" w:rsidR="00033051">
        <w:rPr>
          <w:sz w:val="22"/>
          <w:szCs w:val="22"/>
        </w:rPr>
        <w:t xml:space="preserve"> a “National Periodic Test” code </w:t>
      </w:r>
      <w:r w:rsidR="00C403F9">
        <w:rPr>
          <w:sz w:val="22"/>
          <w:szCs w:val="22"/>
        </w:rPr>
        <w:t xml:space="preserve">(NPT) </w:t>
      </w:r>
      <w:r w:rsidRPr="007059AE" w:rsidR="00033051">
        <w:rPr>
          <w:sz w:val="22"/>
          <w:szCs w:val="22"/>
        </w:rPr>
        <w:t>on its Internet-based feed for IPAWS.</w:t>
      </w:r>
      <w:r>
        <w:rPr>
          <w:rStyle w:val="FootnoteReference"/>
          <w:szCs w:val="22"/>
        </w:rPr>
        <w:footnoteReference w:id="41"/>
      </w:r>
      <w:r w:rsidRPr="007059AE" w:rsidR="00033051">
        <w:rPr>
          <w:sz w:val="22"/>
          <w:szCs w:val="22"/>
        </w:rPr>
        <w:t xml:space="preserve">  Each EAS Participant then received</w:t>
      </w:r>
      <w:r w:rsidRPr="00B57342" w:rsidR="00033051">
        <w:rPr>
          <w:sz w:val="22"/>
          <w:szCs w:val="22"/>
        </w:rPr>
        <w:t xml:space="preserve"> the alert either directly from IPAWS by polling </w:t>
      </w:r>
      <w:r w:rsidR="00033051">
        <w:rPr>
          <w:sz w:val="22"/>
          <w:szCs w:val="22"/>
        </w:rPr>
        <w:t>the IPAWS</w:t>
      </w:r>
      <w:r w:rsidRPr="00B57342" w:rsidR="00033051">
        <w:rPr>
          <w:sz w:val="22"/>
          <w:szCs w:val="22"/>
        </w:rPr>
        <w:t xml:space="preserve"> Internet feed, or via a re-broadcast of the alert by the source that it monitor</w:t>
      </w:r>
      <w:r w:rsidR="00033051">
        <w:rPr>
          <w:sz w:val="22"/>
          <w:szCs w:val="22"/>
        </w:rPr>
        <w:t>s</w:t>
      </w:r>
      <w:r w:rsidRPr="00B57342" w:rsidR="00033051">
        <w:rPr>
          <w:sz w:val="22"/>
          <w:szCs w:val="22"/>
        </w:rPr>
        <w:t xml:space="preserve"> in the “daisy chain.”</w:t>
      </w:r>
      <w:r>
        <w:rPr>
          <w:rStyle w:val="FootnoteReference"/>
          <w:szCs w:val="22"/>
        </w:rPr>
        <w:footnoteReference w:id="42"/>
      </w:r>
      <w:r w:rsidRPr="00B57342" w:rsidR="00033051">
        <w:rPr>
          <w:sz w:val="22"/>
          <w:szCs w:val="22"/>
        </w:rPr>
        <w:t xml:space="preserve">  As in 201</w:t>
      </w:r>
      <w:r w:rsidR="00372BE2">
        <w:rPr>
          <w:sz w:val="22"/>
          <w:szCs w:val="22"/>
        </w:rPr>
        <w:t>7</w:t>
      </w:r>
      <w:r w:rsidRPr="00B57342" w:rsidR="00033051">
        <w:rPr>
          <w:sz w:val="22"/>
          <w:szCs w:val="22"/>
        </w:rPr>
        <w:t xml:space="preserve">, EAS Participants that first obtained the </w:t>
      </w:r>
      <w:r w:rsidR="00C16B52">
        <w:rPr>
          <w:sz w:val="22"/>
          <w:szCs w:val="22"/>
        </w:rPr>
        <w:t xml:space="preserve">test </w:t>
      </w:r>
      <w:r w:rsidRPr="00B57342" w:rsidR="00033051">
        <w:rPr>
          <w:sz w:val="22"/>
          <w:szCs w:val="22"/>
        </w:rPr>
        <w:t xml:space="preserve">alert via IPAWS received a CAP-formatted alert with </w:t>
      </w:r>
      <w:r w:rsidR="00955439">
        <w:rPr>
          <w:sz w:val="22"/>
          <w:szCs w:val="22"/>
        </w:rPr>
        <w:t xml:space="preserve">a </w:t>
      </w:r>
      <w:r w:rsidRPr="00B57342" w:rsidR="00033051">
        <w:rPr>
          <w:sz w:val="22"/>
          <w:szCs w:val="22"/>
        </w:rPr>
        <w:t>high quality</w:t>
      </w:r>
      <w:r w:rsidR="00B00703">
        <w:rPr>
          <w:sz w:val="22"/>
          <w:szCs w:val="22"/>
        </w:rPr>
        <w:t>,</w:t>
      </w:r>
      <w:r w:rsidRPr="00B57342" w:rsidR="00033051">
        <w:rPr>
          <w:sz w:val="22"/>
          <w:szCs w:val="22"/>
        </w:rPr>
        <w:t xml:space="preserve"> </w:t>
      </w:r>
      <w:r w:rsidR="00B00703">
        <w:rPr>
          <w:sz w:val="22"/>
          <w:szCs w:val="22"/>
        </w:rPr>
        <w:t xml:space="preserve">pre-recorded </w:t>
      </w:r>
      <w:r w:rsidRPr="00B57342" w:rsidR="00033051">
        <w:rPr>
          <w:sz w:val="22"/>
          <w:szCs w:val="22"/>
        </w:rPr>
        <w:t>digital audio</w:t>
      </w:r>
      <w:r w:rsidR="00B00703">
        <w:rPr>
          <w:sz w:val="22"/>
          <w:szCs w:val="22"/>
        </w:rPr>
        <w:t xml:space="preserve"> message</w:t>
      </w:r>
      <w:r w:rsidRPr="00B57342" w:rsidR="00033051">
        <w:rPr>
          <w:sz w:val="22"/>
          <w:szCs w:val="22"/>
        </w:rPr>
        <w:t xml:space="preserve">, a detailed text file that could populate a video crawl, as well as English and Spanish </w:t>
      </w:r>
      <w:r w:rsidRPr="00FC68E8" w:rsidR="00033051">
        <w:rPr>
          <w:sz w:val="22"/>
          <w:szCs w:val="22"/>
        </w:rPr>
        <w:t xml:space="preserve">versions of the test alert </w:t>
      </w:r>
      <w:r w:rsidRPr="00FC68E8" w:rsidR="00033051">
        <w:rPr>
          <w:bCs/>
          <w:sz w:val="22"/>
          <w:szCs w:val="22"/>
        </w:rPr>
        <w:t xml:space="preserve">that EAS Participants could </w:t>
      </w:r>
      <w:r w:rsidRPr="007059AE" w:rsidR="00033051">
        <w:rPr>
          <w:sz w:val="22"/>
          <w:szCs w:val="22"/>
        </w:rPr>
        <w:t>transmit to the public in accordance with their equipment’s configuration</w:t>
      </w:r>
      <w:r w:rsidRPr="00B57342" w:rsidR="00033051">
        <w:rPr>
          <w:sz w:val="22"/>
          <w:szCs w:val="22"/>
        </w:rPr>
        <w:t>.  EAS Participants that first obtained the alert over</w:t>
      </w:r>
      <w:r w:rsidR="00F02DBB">
        <w:rPr>
          <w:sz w:val="22"/>
          <w:szCs w:val="22"/>
        </w:rPr>
        <w:t xml:space="preserve"> </w:t>
      </w:r>
      <w:r w:rsidRPr="00B57342" w:rsidR="00033051">
        <w:rPr>
          <w:sz w:val="22"/>
          <w:szCs w:val="22"/>
        </w:rPr>
        <w:t>the</w:t>
      </w:r>
      <w:r w:rsidR="00F02DBB">
        <w:rPr>
          <w:sz w:val="22"/>
          <w:szCs w:val="22"/>
        </w:rPr>
        <w:t xml:space="preserve"> </w:t>
      </w:r>
      <w:r w:rsidRPr="00B57342" w:rsidR="00033051">
        <w:rPr>
          <w:sz w:val="22"/>
          <w:szCs w:val="22"/>
        </w:rPr>
        <w:t>air from a monitored broadcast station received the alert in the basic EAS Protocol</w:t>
      </w:r>
      <w:r w:rsidR="00F02DBB">
        <w:rPr>
          <w:sz w:val="22"/>
          <w:szCs w:val="22"/>
        </w:rPr>
        <w:t xml:space="preserve">, </w:t>
      </w:r>
      <w:r>
        <w:rPr>
          <w:sz w:val="22"/>
          <w:szCs w:val="22"/>
        </w:rPr>
        <w:t>which</w:t>
      </w:r>
      <w:r w:rsidR="00F02DBB">
        <w:rPr>
          <w:sz w:val="22"/>
          <w:szCs w:val="22"/>
        </w:rPr>
        <w:t xml:space="preserve"> lacked the capability of delivering separate audio and non-English text </w:t>
      </w:r>
      <w:r w:rsidR="005371C4">
        <w:rPr>
          <w:sz w:val="22"/>
          <w:szCs w:val="22"/>
        </w:rPr>
        <w:t>files and</w:t>
      </w:r>
      <w:r w:rsidR="00F02DBB">
        <w:rPr>
          <w:sz w:val="22"/>
          <w:szCs w:val="22"/>
        </w:rPr>
        <w:t xml:space="preserve"> was dependent on radio reception for the quality of the audio.</w:t>
      </w:r>
      <w:r>
        <w:rPr>
          <w:rStyle w:val="FootnoteReference"/>
          <w:szCs w:val="22"/>
        </w:rPr>
        <w:footnoteReference w:id="43"/>
      </w:r>
      <w:r w:rsidRPr="00B57342" w:rsidR="00033051">
        <w:rPr>
          <w:sz w:val="22"/>
          <w:szCs w:val="22"/>
        </w:rPr>
        <w:t xml:space="preserve"> </w:t>
      </w:r>
    </w:p>
    <w:p w:rsidR="00DB2ECD" w:rsidRPr="00B57342" w:rsidP="00A0777D" w14:paraId="2BE05ADB" w14:textId="77777777">
      <w:pPr>
        <w:pStyle w:val="Heading2"/>
      </w:pPr>
      <w:bookmarkStart w:id="89" w:name="_Toc477433266"/>
      <w:bookmarkStart w:id="90" w:name="_Toc479002010"/>
      <w:bookmarkStart w:id="91" w:name="_Toc477433465"/>
      <w:bookmarkStart w:id="92" w:name="_Toc507169462"/>
      <w:bookmarkStart w:id="93" w:name="_Toc507169591"/>
      <w:bookmarkStart w:id="94" w:name="_Toc507169916"/>
      <w:bookmarkStart w:id="95" w:name="_Toc507170352"/>
      <w:bookmarkStart w:id="96" w:name="_Toc507170698"/>
      <w:bookmarkStart w:id="97" w:name="_Toc507171294"/>
      <w:bookmarkStart w:id="98" w:name="_Toc507171655"/>
      <w:bookmarkStart w:id="99" w:name="_Toc507772165"/>
      <w:bookmarkStart w:id="100" w:name="_Toc507772552"/>
      <w:bookmarkStart w:id="101" w:name="_Toc508315390"/>
      <w:bookmarkStart w:id="102" w:name="_Toc508315977"/>
      <w:bookmarkStart w:id="103" w:name="_Toc511290790"/>
      <w:bookmarkStart w:id="104" w:name="_Toc511291582"/>
      <w:bookmarkStart w:id="105" w:name="_Toc5614033"/>
      <w:r w:rsidRPr="00B57342">
        <w:t>Participation in the Nationwide EAS Test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B2ECD" w:rsidP="007736D7" w14:paraId="590A55AE" w14:textId="77777777">
      <w:pPr>
        <w:spacing w:before="120"/>
        <w:rPr>
          <w:rFonts w:cs="Times New Roman"/>
          <w:szCs w:val="22"/>
        </w:rPr>
      </w:pPr>
      <w:r w:rsidRPr="00B57342">
        <w:rPr>
          <w:rFonts w:cs="Times New Roman"/>
          <w:szCs w:val="22"/>
        </w:rPr>
        <w:t xml:space="preserve">There are approximately </w:t>
      </w:r>
      <w:r w:rsidRPr="00F51C8B">
        <w:rPr>
          <w:rFonts w:cs="Times New Roman"/>
          <w:szCs w:val="22"/>
        </w:rPr>
        <w:t>25,</w:t>
      </w:r>
      <w:r w:rsidRPr="00F51C8B" w:rsidR="00F51C8B">
        <w:rPr>
          <w:rFonts w:cs="Times New Roman"/>
          <w:szCs w:val="22"/>
        </w:rPr>
        <w:t>827</w:t>
      </w:r>
      <w:r w:rsidRPr="004F4C64">
        <w:rPr>
          <w:rFonts w:cs="Times New Roman"/>
          <w:szCs w:val="22"/>
        </w:rPr>
        <w:t xml:space="preserve"> </w:t>
      </w:r>
      <w:r w:rsidRPr="00B57342">
        <w:rPr>
          <w:rFonts w:cs="Times New Roman"/>
          <w:szCs w:val="22"/>
        </w:rPr>
        <w:t>EAS Participants in the United States and its territories.</w:t>
      </w:r>
      <w:r>
        <w:rPr>
          <w:rStyle w:val="FootnoteReference"/>
          <w:szCs w:val="22"/>
        </w:rPr>
        <w:footnoteReference w:id="44"/>
      </w:r>
      <w:r w:rsidRPr="00B57342">
        <w:rPr>
          <w:rFonts w:cs="Times New Roman"/>
          <w:szCs w:val="22"/>
        </w:rPr>
        <w:t xml:space="preserve">  This estimate includes analog and digital radio broadcast stations (including AM, FM, and Low Power FM (LPFM) stations); analog and digital television broadcast stations (including Low Power TV (LPTV)); analog and digital cable systems; wireless cable systems; wireline video systems;</w:t>
      </w:r>
      <w:r>
        <w:rPr>
          <w:rStyle w:val="FootnoteReference"/>
          <w:szCs w:val="22"/>
        </w:rPr>
        <w:footnoteReference w:id="45"/>
      </w:r>
      <w:r w:rsidRPr="00B57342">
        <w:rPr>
          <w:rFonts w:cs="Times New Roman"/>
          <w:szCs w:val="22"/>
        </w:rPr>
        <w:t xml:space="preserve"> Direct Broadcast Satellite (DBS) services; and Satellite Digital Audio Radio Service (SDARS).</w:t>
      </w:r>
      <w:r>
        <w:rPr>
          <w:rStyle w:val="FootnoteReference"/>
          <w:szCs w:val="22"/>
        </w:rPr>
        <w:footnoteReference w:id="46"/>
      </w:r>
    </w:p>
    <w:p w:rsidR="00DB2ECD" w:rsidRPr="00085542" w:rsidP="007736D7" w14:paraId="7C85D10B" w14:textId="2C1EA3F8">
      <w:pPr>
        <w:spacing w:before="120"/>
        <w:rPr>
          <w:rFonts w:cs="Times New Roman"/>
          <w:b/>
        </w:rPr>
      </w:pPr>
      <w:r w:rsidRPr="00FE446B">
        <w:rPr>
          <w:rFonts w:cs="Times New Roman"/>
          <w:b/>
        </w:rPr>
        <w:t>Table 1</w:t>
      </w:r>
      <w:r w:rsidRPr="00D0321B">
        <w:rPr>
          <w:rFonts w:cs="Times New Roman"/>
        </w:rPr>
        <w:t xml:space="preserve"> summarizes the participation rate in the 201</w:t>
      </w:r>
      <w:r w:rsidR="00DD7DCA">
        <w:rPr>
          <w:rFonts w:cs="Times New Roman"/>
        </w:rPr>
        <w:t>8</w:t>
      </w:r>
      <w:r w:rsidRPr="00D0321B">
        <w:rPr>
          <w:rFonts w:cs="Times New Roman"/>
        </w:rPr>
        <w:t xml:space="preserve"> </w:t>
      </w:r>
      <w:r w:rsidR="007500C6">
        <w:rPr>
          <w:rFonts w:cs="Times New Roman"/>
        </w:rPr>
        <w:t>n</w:t>
      </w:r>
      <w:r w:rsidRPr="00D0321B">
        <w:rPr>
          <w:rFonts w:cs="Times New Roman"/>
        </w:rPr>
        <w:t xml:space="preserve">ationwide EAS </w:t>
      </w:r>
      <w:r w:rsidR="007500C6">
        <w:rPr>
          <w:rFonts w:cs="Times New Roman"/>
        </w:rPr>
        <w:t>t</w:t>
      </w:r>
      <w:r w:rsidRPr="00D0321B">
        <w:rPr>
          <w:rFonts w:cs="Times New Roman"/>
        </w:rPr>
        <w:t>est.</w:t>
      </w:r>
      <w:r>
        <w:rPr>
          <w:rStyle w:val="FootnoteReference"/>
        </w:rPr>
        <w:footnoteReference w:id="47"/>
      </w:r>
      <w:r w:rsidRPr="00CA558A">
        <w:rPr>
          <w:rFonts w:cs="Times New Roman"/>
        </w:rPr>
        <w:t xml:space="preserve">  Excluding duplicate filings,</w:t>
      </w:r>
      <w:r>
        <w:rPr>
          <w:rStyle w:val="FootnoteReference"/>
        </w:rPr>
        <w:footnoteReference w:id="48"/>
      </w:r>
      <w:r w:rsidRPr="00CA558A">
        <w:rPr>
          <w:rFonts w:cs="Times New Roman"/>
        </w:rPr>
        <w:t xml:space="preserve"> EAS Participants made </w:t>
      </w:r>
      <w:r w:rsidRPr="006829A2" w:rsidR="006829A2">
        <w:rPr>
          <w:rFonts w:cs="Times New Roman"/>
          <w:bCs w:val="0"/>
          <w:color w:val="000000"/>
          <w:kern w:val="0"/>
          <w:szCs w:val="22"/>
        </w:rPr>
        <w:t>19,7</w:t>
      </w:r>
      <w:r w:rsidR="004907E1">
        <w:rPr>
          <w:rFonts w:cs="Times New Roman"/>
          <w:bCs w:val="0"/>
          <w:color w:val="000000"/>
          <w:kern w:val="0"/>
          <w:szCs w:val="22"/>
        </w:rPr>
        <w:t>04</w:t>
      </w:r>
      <w:r w:rsidR="006829A2">
        <w:rPr>
          <w:rFonts w:cs="Times New Roman"/>
          <w:b/>
          <w:bCs w:val="0"/>
          <w:color w:val="000000"/>
          <w:kern w:val="0"/>
          <w:szCs w:val="22"/>
        </w:rPr>
        <w:t xml:space="preserve"> </w:t>
      </w:r>
      <w:r w:rsidRPr="000E03F2" w:rsidR="000E03F2">
        <w:rPr>
          <w:rFonts w:cs="Times New Roman"/>
          <w:bCs w:val="0"/>
          <w:color w:val="000000"/>
          <w:kern w:val="0"/>
          <w:szCs w:val="22"/>
        </w:rPr>
        <w:t xml:space="preserve">unique </w:t>
      </w:r>
      <w:r w:rsidRPr="00CA558A">
        <w:rPr>
          <w:rFonts w:cs="Times New Roman"/>
        </w:rPr>
        <w:t>filings</w:t>
      </w:r>
      <w:r>
        <w:rPr>
          <w:rStyle w:val="FootnoteReference"/>
        </w:rPr>
        <w:footnoteReference w:id="49"/>
      </w:r>
      <w:r w:rsidRPr="00CA558A">
        <w:rPr>
          <w:rFonts w:cs="Times New Roman"/>
        </w:rPr>
        <w:t xml:space="preserve"> with a participation rate of 76.</w:t>
      </w:r>
      <w:r w:rsidR="006829A2">
        <w:rPr>
          <w:rFonts w:cs="Times New Roman"/>
        </w:rPr>
        <w:t>3</w:t>
      </w:r>
      <w:r w:rsidRPr="00CA558A">
        <w:rPr>
          <w:rFonts w:cs="Times New Roman"/>
        </w:rPr>
        <w:t>%.</w:t>
      </w:r>
      <w:r>
        <w:rPr>
          <w:rStyle w:val="FootnoteReference"/>
        </w:rPr>
        <w:footnoteReference w:id="50"/>
      </w:r>
      <w:r w:rsidRPr="00D0321B">
        <w:rPr>
          <w:rFonts w:cs="Times New Roman"/>
        </w:rPr>
        <w:t xml:space="preserve">  This </w:t>
      </w:r>
      <w:r w:rsidR="00620DD7">
        <w:rPr>
          <w:rFonts w:cs="Times New Roman"/>
        </w:rPr>
        <w:t xml:space="preserve">result is a </w:t>
      </w:r>
      <w:r w:rsidR="006829A2">
        <w:rPr>
          <w:rFonts w:cs="Times New Roman"/>
        </w:rPr>
        <w:t xml:space="preserve">slight </w:t>
      </w:r>
      <w:r w:rsidRPr="209B057E">
        <w:rPr>
          <w:rFonts w:cs="Times New Roman"/>
        </w:rPr>
        <w:t xml:space="preserve">reduction from the </w:t>
      </w:r>
      <w:r w:rsidR="006829A2">
        <w:rPr>
          <w:rFonts w:cs="Times New Roman"/>
        </w:rPr>
        <w:t>19,7</w:t>
      </w:r>
      <w:r w:rsidR="004907E1">
        <w:rPr>
          <w:rFonts w:cs="Times New Roman"/>
        </w:rPr>
        <w:t>38</w:t>
      </w:r>
      <w:r w:rsidRPr="209B057E">
        <w:rPr>
          <w:rFonts w:cs="Times New Roman"/>
        </w:rPr>
        <w:t xml:space="preserve"> </w:t>
      </w:r>
      <w:r>
        <w:rPr>
          <w:rFonts w:cs="Times New Roman"/>
        </w:rPr>
        <w:t>unique</w:t>
      </w:r>
      <w:r w:rsidRPr="209B057E">
        <w:rPr>
          <w:rFonts w:cs="Times New Roman"/>
        </w:rPr>
        <w:t xml:space="preserve"> filings received for the 201</w:t>
      </w:r>
      <w:r w:rsidR="006829A2">
        <w:rPr>
          <w:rFonts w:cs="Times New Roman"/>
        </w:rPr>
        <w:t>7</w:t>
      </w:r>
      <w:r w:rsidRPr="209B057E">
        <w:rPr>
          <w:rFonts w:cs="Times New Roman"/>
        </w:rPr>
        <w:t xml:space="preserve"> </w:t>
      </w:r>
      <w:r w:rsidR="007500C6">
        <w:rPr>
          <w:rFonts w:cs="Times New Roman"/>
        </w:rPr>
        <w:t>n</w:t>
      </w:r>
      <w:r w:rsidRPr="209B057E">
        <w:rPr>
          <w:rFonts w:cs="Times New Roman"/>
        </w:rPr>
        <w:t xml:space="preserve">ationwide </w:t>
      </w:r>
      <w:r>
        <w:rPr>
          <w:rFonts w:cs="Times New Roman"/>
        </w:rPr>
        <w:t xml:space="preserve">EAS </w:t>
      </w:r>
      <w:r w:rsidR="007500C6">
        <w:rPr>
          <w:rFonts w:cs="Times New Roman"/>
        </w:rPr>
        <w:t>t</w:t>
      </w:r>
      <w:r w:rsidRPr="209B057E">
        <w:rPr>
          <w:rFonts w:cs="Times New Roman"/>
        </w:rPr>
        <w:t>est</w:t>
      </w:r>
      <w:r w:rsidR="00620DD7">
        <w:rPr>
          <w:rFonts w:cs="Times New Roman"/>
        </w:rPr>
        <w:t>;</w:t>
      </w:r>
      <w:r w:rsidR="005371C4">
        <w:rPr>
          <w:rFonts w:cs="Times New Roman"/>
        </w:rPr>
        <w:t xml:space="preserve"> </w:t>
      </w:r>
      <w:r w:rsidR="004F7A95">
        <w:rPr>
          <w:rFonts w:cs="Times New Roman"/>
        </w:rPr>
        <w:t>nonetheless</w:t>
      </w:r>
      <w:r w:rsidR="00620DD7">
        <w:rPr>
          <w:rFonts w:cs="Times New Roman"/>
        </w:rPr>
        <w:t xml:space="preserve">, the </w:t>
      </w:r>
      <w:r w:rsidR="006829A2">
        <w:rPr>
          <w:rFonts w:cs="Times New Roman"/>
        </w:rPr>
        <w:t xml:space="preserve">2018 participation rate </w:t>
      </w:r>
      <w:r w:rsidR="00620DD7">
        <w:rPr>
          <w:rFonts w:cs="Times New Roman"/>
        </w:rPr>
        <w:t xml:space="preserve">is a slight increase from 2017’s rate </w:t>
      </w:r>
      <w:r w:rsidR="006829A2">
        <w:rPr>
          <w:rFonts w:cs="Times New Roman"/>
        </w:rPr>
        <w:t>of 76.2%</w:t>
      </w:r>
      <w:r w:rsidR="004F7A95">
        <w:rPr>
          <w:rFonts w:cs="Times New Roman"/>
        </w:rPr>
        <w:t xml:space="preserve"> due </w:t>
      </w:r>
      <w:r w:rsidR="00C2262B">
        <w:rPr>
          <w:rFonts w:cs="Times New Roman"/>
        </w:rPr>
        <w:t xml:space="preserve">in part </w:t>
      </w:r>
      <w:r w:rsidR="004F7A95">
        <w:rPr>
          <w:rFonts w:cs="Times New Roman"/>
        </w:rPr>
        <w:t>to the fact that there were fewer EAS Participants in 2018 than in 2017</w:t>
      </w:r>
      <w:r w:rsidRPr="209B057E">
        <w:rPr>
          <w:rFonts w:cs="Times New Roman"/>
        </w:rPr>
        <w:t>.</w:t>
      </w:r>
      <w:r>
        <w:rPr>
          <w:rStyle w:val="FootnoteReference"/>
        </w:rPr>
        <w:footnoteReference w:id="51"/>
      </w:r>
      <w:r>
        <w:rPr>
          <w:szCs w:val="22"/>
        </w:rPr>
        <w:t xml:space="preserve"> </w:t>
      </w:r>
      <w:r w:rsidRPr="00D0321B">
        <w:rPr>
          <w:rFonts w:cs="Times New Roman"/>
        </w:rPr>
        <w:t xml:space="preserve"> </w:t>
      </w:r>
      <w:r w:rsidRPr="209B057E" w:rsidR="001C2A48">
        <w:rPr>
          <w:rFonts w:cs="Times New Roman"/>
        </w:rPr>
        <w:t>T</w:t>
      </w:r>
      <w:r w:rsidR="001C2A48">
        <w:rPr>
          <w:rFonts w:cs="Times New Roman"/>
        </w:rPr>
        <w:t>he</w:t>
      </w:r>
      <w:r w:rsidRPr="209B057E" w:rsidR="001C2A48">
        <w:rPr>
          <w:rFonts w:cs="Times New Roman"/>
        </w:rPr>
        <w:t xml:space="preserve"> reduction in filings may have </w:t>
      </w:r>
      <w:r w:rsidR="00620DD7">
        <w:rPr>
          <w:rFonts w:cs="Times New Roman"/>
        </w:rPr>
        <w:t>r</w:t>
      </w:r>
      <w:r w:rsidR="001C2A48">
        <w:rPr>
          <w:rFonts w:cs="Times New Roman"/>
        </w:rPr>
        <w:t>esulted from</w:t>
      </w:r>
      <w:r w:rsidRPr="209B057E" w:rsidR="001C2A48">
        <w:rPr>
          <w:rFonts w:cs="Times New Roman"/>
        </w:rPr>
        <w:t xml:space="preserve"> </w:t>
      </w:r>
      <w:r w:rsidR="001C2A48">
        <w:rPr>
          <w:rFonts w:cs="Times New Roman"/>
        </w:rPr>
        <w:t>several</w:t>
      </w:r>
      <w:r w:rsidRPr="00D0321B" w:rsidR="001C2A48">
        <w:rPr>
          <w:rFonts w:cs="Times New Roman"/>
        </w:rPr>
        <w:t xml:space="preserve"> factors, including severe weather and wildfires during summer and fall of 201</w:t>
      </w:r>
      <w:r w:rsidR="001C2A48">
        <w:rPr>
          <w:rFonts w:cs="Times New Roman"/>
        </w:rPr>
        <w:t>8</w:t>
      </w:r>
      <w:r w:rsidRPr="00D0321B" w:rsidR="001C2A48">
        <w:rPr>
          <w:rFonts w:cs="Times New Roman"/>
        </w:rPr>
        <w:t>.</w:t>
      </w:r>
      <w:r w:rsidR="001C2A48">
        <w:rPr>
          <w:rFonts w:cs="Times New Roman"/>
        </w:rPr>
        <w:t xml:space="preserve">  </w:t>
      </w:r>
      <w:r w:rsidRPr="00B57342">
        <w:rPr>
          <w:szCs w:val="22"/>
        </w:rPr>
        <w:t xml:space="preserve">It is </w:t>
      </w:r>
      <w:r w:rsidR="001C2A48">
        <w:rPr>
          <w:szCs w:val="22"/>
        </w:rPr>
        <w:t xml:space="preserve">also </w:t>
      </w:r>
      <w:r w:rsidRPr="00B57342">
        <w:rPr>
          <w:szCs w:val="22"/>
        </w:rPr>
        <w:t>possible that broadcasters participated but did not file in ETRS</w:t>
      </w:r>
      <w:r>
        <w:rPr>
          <w:szCs w:val="22"/>
        </w:rPr>
        <w:t>.</w:t>
      </w:r>
      <w:r w:rsidRPr="00D0321B">
        <w:rPr>
          <w:rFonts w:cs="Times New Roman"/>
          <w:color w:val="000000"/>
          <w:kern w:val="0"/>
        </w:rPr>
        <w:t xml:space="preserve"> </w:t>
      </w:r>
      <w:r w:rsidR="001C2A48">
        <w:rPr>
          <w:rFonts w:cs="Times New Roman"/>
          <w:color w:val="000000"/>
          <w:kern w:val="0"/>
        </w:rPr>
        <w:t xml:space="preserve"> </w:t>
      </w:r>
      <w:r w:rsidRPr="00D0321B">
        <w:rPr>
          <w:rFonts w:cs="Times New Roman"/>
          <w:color w:val="000000"/>
          <w:kern w:val="0"/>
        </w:rPr>
        <w:t>Radio broadcasters had an above-average participat</w:t>
      </w:r>
      <w:r w:rsidRPr="00CA558A">
        <w:rPr>
          <w:rFonts w:cs="Times New Roman"/>
          <w:color w:val="000000"/>
          <w:kern w:val="0"/>
        </w:rPr>
        <w:t>ion rate of 78.</w:t>
      </w:r>
      <w:r w:rsidR="001C2A48">
        <w:rPr>
          <w:rFonts w:cs="Times New Roman"/>
          <w:color w:val="000000"/>
          <w:kern w:val="0"/>
        </w:rPr>
        <w:t>7</w:t>
      </w:r>
      <w:r w:rsidRPr="002C3749">
        <w:rPr>
          <w:rFonts w:cs="Times New Roman"/>
          <w:kern w:val="0"/>
        </w:rPr>
        <w:t>%</w:t>
      </w:r>
      <w:r w:rsidRPr="002C3749">
        <w:rPr>
          <w:rFonts w:cs="Times New Roman"/>
          <w:color w:val="000000"/>
          <w:kern w:val="0"/>
        </w:rPr>
        <w:t xml:space="preserve">, while television broadcasters had the lowest participation rate of </w:t>
      </w:r>
      <w:r w:rsidRPr="00E8353C">
        <w:rPr>
          <w:rFonts w:cs="Times New Roman"/>
          <w:kern w:val="0"/>
        </w:rPr>
        <w:t>6</w:t>
      </w:r>
      <w:r w:rsidR="001C2A48">
        <w:rPr>
          <w:rFonts w:cs="Times New Roman"/>
          <w:kern w:val="0"/>
        </w:rPr>
        <w:t>5</w:t>
      </w:r>
      <w:r w:rsidRPr="00E8353C">
        <w:rPr>
          <w:rFonts w:cs="Times New Roman"/>
          <w:kern w:val="0"/>
        </w:rPr>
        <w:t>.5%</w:t>
      </w:r>
      <w:r w:rsidR="001C2A48">
        <w:rPr>
          <w:rFonts w:cs="Times New Roman"/>
          <w:kern w:val="0"/>
        </w:rPr>
        <w:t>, which is a three-point decline from the 2017 rate of 68.5%</w:t>
      </w:r>
      <w:r w:rsidRPr="0035450D">
        <w:rPr>
          <w:rFonts w:cs="Times New Roman"/>
          <w:color w:val="000000"/>
          <w:kern w:val="0"/>
        </w:rPr>
        <w:t>.  Cable</w:t>
      </w:r>
      <w:r>
        <w:rPr>
          <w:rFonts w:cs="Times New Roman"/>
          <w:color w:val="000000"/>
          <w:kern w:val="0"/>
        </w:rPr>
        <w:t xml:space="preserve"> system</w:t>
      </w:r>
      <w:r w:rsidRPr="00D0321B">
        <w:rPr>
          <w:rFonts w:cs="Times New Roman"/>
          <w:color w:val="000000"/>
          <w:kern w:val="0"/>
        </w:rPr>
        <w:t xml:space="preserve">, </w:t>
      </w:r>
      <w:r>
        <w:rPr>
          <w:rFonts w:cs="Times New Roman"/>
          <w:color w:val="000000"/>
          <w:kern w:val="0"/>
        </w:rPr>
        <w:t>IPTV</w:t>
      </w:r>
      <w:r w:rsidR="00703FE6">
        <w:rPr>
          <w:rFonts w:cs="Times New Roman"/>
          <w:color w:val="000000"/>
          <w:kern w:val="0"/>
        </w:rPr>
        <w:t>, and</w:t>
      </w:r>
      <w:r w:rsidRPr="209B057E">
        <w:rPr>
          <w:rFonts w:cs="Times New Roman"/>
          <w:color w:val="000000"/>
          <w:kern w:val="0"/>
        </w:rPr>
        <w:t xml:space="preserve"> wireline video system participants had an improved participation rate of 7</w:t>
      </w:r>
      <w:r w:rsidR="001C2A48">
        <w:rPr>
          <w:rFonts w:cs="Times New Roman"/>
          <w:color w:val="000000"/>
          <w:kern w:val="0"/>
        </w:rPr>
        <w:t>6</w:t>
      </w:r>
      <w:r w:rsidRPr="209B057E">
        <w:rPr>
          <w:rFonts w:cs="Times New Roman"/>
          <w:color w:val="000000"/>
          <w:kern w:val="0"/>
        </w:rPr>
        <w:t>.</w:t>
      </w:r>
      <w:r w:rsidR="004907E1">
        <w:rPr>
          <w:rFonts w:cs="Times New Roman"/>
          <w:color w:val="000000"/>
          <w:kern w:val="0"/>
        </w:rPr>
        <w:t>4</w:t>
      </w:r>
      <w:r w:rsidRPr="209B057E">
        <w:rPr>
          <w:rFonts w:cs="Times New Roman"/>
          <w:color w:val="000000"/>
          <w:kern w:val="0"/>
        </w:rPr>
        <w:t xml:space="preserve">%, which was </w:t>
      </w:r>
      <w:r w:rsidR="001C2A48">
        <w:rPr>
          <w:rFonts w:cs="Times New Roman"/>
          <w:color w:val="000000"/>
          <w:kern w:val="0"/>
        </w:rPr>
        <w:t xml:space="preserve">slightly </w:t>
      </w:r>
      <w:r w:rsidRPr="209B057E">
        <w:rPr>
          <w:rFonts w:cs="Times New Roman"/>
          <w:color w:val="000000"/>
          <w:kern w:val="0"/>
        </w:rPr>
        <w:t>higher than the 201</w:t>
      </w:r>
      <w:r w:rsidR="001C2A48">
        <w:rPr>
          <w:rFonts w:cs="Times New Roman"/>
          <w:color w:val="000000"/>
          <w:kern w:val="0"/>
        </w:rPr>
        <w:t>7</w:t>
      </w:r>
      <w:r w:rsidRPr="209B057E">
        <w:rPr>
          <w:rFonts w:cs="Times New Roman"/>
          <w:color w:val="000000"/>
          <w:kern w:val="0"/>
        </w:rPr>
        <w:t xml:space="preserve"> rate of </w:t>
      </w:r>
      <w:r w:rsidR="001C2A48">
        <w:rPr>
          <w:rFonts w:cs="Times New Roman"/>
          <w:color w:val="000000"/>
          <w:kern w:val="0"/>
        </w:rPr>
        <w:t>7</w:t>
      </w:r>
      <w:r w:rsidR="004907E1">
        <w:rPr>
          <w:rFonts w:cs="Times New Roman"/>
          <w:color w:val="000000"/>
          <w:kern w:val="0"/>
        </w:rPr>
        <w:t>4</w:t>
      </w:r>
      <w:r w:rsidRPr="209B057E">
        <w:rPr>
          <w:rFonts w:cs="Times New Roman"/>
          <w:color w:val="000000"/>
          <w:kern w:val="0"/>
        </w:rPr>
        <w:t>%.</w:t>
      </w:r>
      <w:r w:rsidR="00EE4CD5">
        <w:rPr>
          <w:rFonts w:cs="Times New Roman"/>
          <w:color w:val="000000"/>
          <w:kern w:val="0"/>
        </w:rPr>
        <w:t xml:space="preserve"> </w:t>
      </w:r>
    </w:p>
    <w:p w:rsidR="00DB2ECD" w:rsidRPr="00B57342" w:rsidP="00DB2ECD" w14:paraId="34B19539" w14:textId="77777777">
      <w:pPr>
        <w:keepNext/>
        <w:keepLines/>
        <w:spacing w:after="120"/>
        <w:rPr>
          <w:rFonts w:cs="Times New Roman"/>
          <w:b/>
          <w:szCs w:val="22"/>
        </w:rPr>
      </w:pPr>
      <w:r w:rsidRPr="00B57342">
        <w:rPr>
          <w:rFonts w:cs="Times New Roman"/>
          <w:b/>
          <w:szCs w:val="22"/>
        </w:rPr>
        <w:t>Table 1. Overview of Filings Received in ETRS</w:t>
      </w:r>
      <w:r>
        <w:rPr>
          <w:rStyle w:val="FootnoteReference"/>
          <w:b/>
          <w:szCs w:val="22"/>
        </w:rPr>
        <w:footnoteReference w:id="52"/>
      </w:r>
    </w:p>
    <w:tbl>
      <w:tblPr>
        <w:tblW w:w="9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1762"/>
        <w:gridCol w:w="1763"/>
        <w:gridCol w:w="1763"/>
        <w:gridCol w:w="2213"/>
      </w:tblGrid>
      <w:tr w14:paraId="423FA236" w14:textId="77777777" w:rsidTr="004907E1">
        <w:tblPrEx>
          <w:tblW w:w="9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623"/>
        </w:trPr>
        <w:tc>
          <w:tcPr>
            <w:tcW w:w="1761" w:type="dxa"/>
            <w:shd w:val="clear" w:color="auto" w:fill="C0C0C0"/>
            <w:noWrap/>
            <w:vAlign w:val="bottom"/>
          </w:tcPr>
          <w:p w:rsidR="002E048C" w:rsidRPr="00DD7DCA" w:rsidP="00DB1669" w14:paraId="1BB679DC" w14:textId="77777777">
            <w:pPr>
              <w:keepNext/>
              <w:keepLines/>
              <w:spacing w:after="120"/>
              <w:jc w:val="center"/>
              <w:rPr>
                <w:rFonts w:cs="Times New Roman"/>
                <w:b/>
                <w:color w:val="000000"/>
                <w:kern w:val="0"/>
                <w:szCs w:val="22"/>
              </w:rPr>
            </w:pPr>
            <w:r w:rsidRPr="00DD7DCA">
              <w:rPr>
                <w:rFonts w:cs="Times New Roman"/>
                <w:b/>
                <w:color w:val="000000"/>
                <w:kern w:val="0"/>
                <w:szCs w:val="22"/>
              </w:rPr>
              <w:t>EAS Participant Type</w:t>
            </w:r>
          </w:p>
        </w:tc>
        <w:tc>
          <w:tcPr>
            <w:tcW w:w="1762" w:type="dxa"/>
            <w:shd w:val="clear" w:color="auto" w:fill="C0C0C0"/>
            <w:vAlign w:val="bottom"/>
          </w:tcPr>
          <w:p w:rsidR="002E048C" w:rsidRPr="00DD7DCA" w:rsidP="00DB1669" w14:paraId="426DB1B5" w14:textId="77777777">
            <w:pPr>
              <w:keepNext/>
              <w:keepLines/>
              <w:spacing w:after="120"/>
              <w:jc w:val="center"/>
              <w:rPr>
                <w:rFonts w:cs="Times New Roman"/>
                <w:b/>
                <w:color w:val="000000" w:themeColor="text1"/>
                <w:kern w:val="0"/>
                <w:szCs w:val="22"/>
              </w:rPr>
            </w:pPr>
            <w:r w:rsidRPr="00DD7DCA">
              <w:rPr>
                <w:rFonts w:cs="Times New Roman"/>
                <w:b/>
                <w:color w:val="000000" w:themeColor="text1"/>
                <w:kern w:val="0"/>
                <w:szCs w:val="22"/>
              </w:rPr>
              <w:t># of EAS Participants</w:t>
            </w:r>
          </w:p>
        </w:tc>
        <w:tc>
          <w:tcPr>
            <w:tcW w:w="1763" w:type="dxa"/>
            <w:shd w:val="clear" w:color="auto" w:fill="C0C0C0"/>
            <w:noWrap/>
            <w:vAlign w:val="bottom"/>
          </w:tcPr>
          <w:p w:rsidR="002E048C" w:rsidRPr="00DD7DCA" w:rsidP="00DB1669" w14:paraId="05473CDB" w14:textId="77777777">
            <w:pPr>
              <w:keepNext/>
              <w:keepLines/>
              <w:spacing w:after="120"/>
              <w:jc w:val="center"/>
              <w:rPr>
                <w:rFonts w:cs="Times New Roman"/>
                <w:b/>
                <w:color w:val="000000"/>
                <w:kern w:val="0"/>
                <w:szCs w:val="22"/>
              </w:rPr>
            </w:pPr>
            <w:r w:rsidRPr="00DD7DCA">
              <w:rPr>
                <w:rFonts w:cs="Times New Roman"/>
                <w:b/>
                <w:color w:val="000000"/>
                <w:kern w:val="0"/>
                <w:szCs w:val="22"/>
              </w:rPr>
              <w:t>Filings Received</w:t>
            </w:r>
          </w:p>
        </w:tc>
        <w:tc>
          <w:tcPr>
            <w:tcW w:w="1763" w:type="dxa"/>
            <w:shd w:val="clear" w:color="auto" w:fill="C0C0C0"/>
            <w:noWrap/>
            <w:vAlign w:val="bottom"/>
          </w:tcPr>
          <w:p w:rsidR="002E048C" w:rsidRPr="00DD7DCA" w:rsidP="00DB1669" w14:paraId="18F657B5" w14:textId="77777777">
            <w:pPr>
              <w:keepNext/>
              <w:keepLines/>
              <w:spacing w:after="120"/>
              <w:jc w:val="center"/>
              <w:rPr>
                <w:rFonts w:cs="Times New Roman"/>
                <w:b/>
                <w:color w:val="000000"/>
                <w:kern w:val="0"/>
              </w:rPr>
            </w:pPr>
            <w:r w:rsidRPr="00DD7DCA">
              <w:rPr>
                <w:rFonts w:cs="Times New Roman"/>
                <w:b/>
                <w:color w:val="000000"/>
                <w:kern w:val="0"/>
              </w:rPr>
              <w:t xml:space="preserve">Unique Filings Received </w:t>
            </w:r>
          </w:p>
        </w:tc>
        <w:tc>
          <w:tcPr>
            <w:tcW w:w="2213" w:type="dxa"/>
            <w:shd w:val="clear" w:color="auto" w:fill="C0C0C0"/>
            <w:vAlign w:val="bottom"/>
          </w:tcPr>
          <w:p w:rsidR="002E048C" w:rsidRPr="00DD7DCA" w:rsidP="00DB1669" w14:paraId="3D8F6C6F" w14:textId="77777777">
            <w:pPr>
              <w:keepNext/>
              <w:keepLines/>
              <w:spacing w:after="120"/>
              <w:jc w:val="center"/>
              <w:rPr>
                <w:rFonts w:cs="Times New Roman"/>
                <w:b/>
                <w:color w:val="FF0000"/>
                <w:kern w:val="0"/>
                <w:szCs w:val="22"/>
              </w:rPr>
            </w:pPr>
            <w:r w:rsidRPr="00DD7DCA">
              <w:rPr>
                <w:rFonts w:cs="Times New Roman"/>
                <w:b/>
                <w:color w:val="000000" w:themeColor="text1"/>
                <w:kern w:val="0"/>
                <w:szCs w:val="22"/>
              </w:rPr>
              <w:t>Filing Rate</w:t>
            </w:r>
          </w:p>
        </w:tc>
      </w:tr>
      <w:tr w14:paraId="30C03718" w14:textId="77777777" w:rsidTr="004907E1">
        <w:tblPrEx>
          <w:tblW w:w="9262" w:type="dxa"/>
          <w:tblInd w:w="93" w:type="dxa"/>
          <w:tblLayout w:type="fixed"/>
          <w:tblLook w:val="0000"/>
        </w:tblPrEx>
        <w:trPr>
          <w:cantSplit/>
          <w:trHeight w:val="222"/>
        </w:trPr>
        <w:tc>
          <w:tcPr>
            <w:tcW w:w="1761" w:type="dxa"/>
            <w:vAlign w:val="bottom"/>
          </w:tcPr>
          <w:p w:rsidR="002E048C" w:rsidRPr="00DD7DCA" w:rsidP="00DB1669" w14:paraId="1E3EBAD3" w14:textId="77777777">
            <w:pPr>
              <w:keepNext/>
              <w:keepLines/>
              <w:spacing w:after="120"/>
              <w:jc w:val="right"/>
              <w:rPr>
                <w:rFonts w:cs="Times New Roman"/>
                <w:bCs w:val="0"/>
                <w:color w:val="000000"/>
                <w:kern w:val="0"/>
                <w:szCs w:val="22"/>
              </w:rPr>
            </w:pPr>
            <w:r w:rsidRPr="00DD7DCA">
              <w:rPr>
                <w:rFonts w:cs="Times New Roman"/>
                <w:color w:val="000000"/>
                <w:kern w:val="0"/>
                <w:szCs w:val="22"/>
              </w:rPr>
              <w:t>Radio Broadcasters</w:t>
            </w:r>
          </w:p>
        </w:tc>
        <w:tc>
          <w:tcPr>
            <w:tcW w:w="1762" w:type="dxa"/>
            <w:vAlign w:val="bottom"/>
          </w:tcPr>
          <w:p w:rsidR="002E048C" w:rsidRPr="00DD7DCA" w:rsidP="00DB1669" w14:paraId="6791F5E2" w14:textId="77777777">
            <w:pPr>
              <w:keepNext/>
              <w:keepLines/>
              <w:spacing w:after="120"/>
              <w:jc w:val="center"/>
              <w:rPr>
                <w:rFonts w:cs="Times New Roman"/>
                <w:bCs w:val="0"/>
                <w:color w:val="000000" w:themeColor="text1"/>
                <w:kern w:val="0"/>
                <w:szCs w:val="22"/>
              </w:rPr>
            </w:pPr>
            <w:r w:rsidRPr="00DD7DCA">
              <w:rPr>
                <w:rFonts w:cs="Times New Roman"/>
                <w:bCs w:val="0"/>
                <w:color w:val="000000" w:themeColor="text1"/>
                <w:kern w:val="0"/>
                <w:szCs w:val="22"/>
              </w:rPr>
              <w:t>17</w:t>
            </w:r>
            <w:r w:rsidRPr="00DD7DCA" w:rsidR="00F51C8B">
              <w:rPr>
                <w:rFonts w:cs="Times New Roman"/>
                <w:bCs w:val="0"/>
                <w:color w:val="000000" w:themeColor="text1"/>
                <w:kern w:val="0"/>
                <w:szCs w:val="22"/>
              </w:rPr>
              <w:t>680</w:t>
            </w:r>
          </w:p>
        </w:tc>
        <w:tc>
          <w:tcPr>
            <w:tcW w:w="1763" w:type="dxa"/>
            <w:vAlign w:val="bottom"/>
          </w:tcPr>
          <w:p w:rsidR="002E048C" w:rsidRPr="00DD7DCA" w:rsidP="00DB1669" w14:paraId="6592D902" w14:textId="77777777">
            <w:pPr>
              <w:keepNext/>
              <w:keepLines/>
              <w:spacing w:after="120"/>
              <w:jc w:val="center"/>
              <w:rPr>
                <w:rFonts w:cs="Times New Roman"/>
                <w:bCs w:val="0"/>
                <w:color w:val="000000"/>
                <w:kern w:val="0"/>
                <w:szCs w:val="22"/>
              </w:rPr>
            </w:pPr>
            <w:r w:rsidRPr="00DD7DCA">
              <w:rPr>
                <w:rFonts w:cs="Times New Roman"/>
                <w:szCs w:val="22"/>
              </w:rPr>
              <w:t>14</w:t>
            </w:r>
            <w:r w:rsidRPr="00DD7DCA" w:rsidR="00DD7DCA">
              <w:rPr>
                <w:rFonts w:cs="Times New Roman"/>
                <w:szCs w:val="22"/>
              </w:rPr>
              <w:t>562</w:t>
            </w:r>
          </w:p>
        </w:tc>
        <w:tc>
          <w:tcPr>
            <w:tcW w:w="1763" w:type="dxa"/>
            <w:vAlign w:val="bottom"/>
          </w:tcPr>
          <w:p w:rsidR="002E048C" w:rsidRPr="00DD7DCA" w:rsidP="00DB1669" w14:paraId="4D9C0FDF" w14:textId="77777777">
            <w:pPr>
              <w:keepNext/>
              <w:keepLines/>
              <w:spacing w:after="120"/>
              <w:jc w:val="center"/>
              <w:rPr>
                <w:rFonts w:cs="Times New Roman"/>
                <w:bCs w:val="0"/>
                <w:color w:val="000000"/>
                <w:kern w:val="0"/>
                <w:szCs w:val="22"/>
              </w:rPr>
            </w:pPr>
            <w:r w:rsidRPr="00DD7DCA">
              <w:rPr>
                <w:rFonts w:cs="Times New Roman"/>
                <w:bCs w:val="0"/>
                <w:color w:val="000000"/>
                <w:kern w:val="0"/>
                <w:szCs w:val="22"/>
              </w:rPr>
              <w:t>13</w:t>
            </w:r>
            <w:r w:rsidRPr="00DD7DCA" w:rsidR="00DD7DCA">
              <w:rPr>
                <w:rFonts w:cs="Times New Roman"/>
                <w:bCs w:val="0"/>
                <w:color w:val="000000"/>
                <w:kern w:val="0"/>
                <w:szCs w:val="22"/>
              </w:rPr>
              <w:t>908</w:t>
            </w:r>
          </w:p>
        </w:tc>
        <w:tc>
          <w:tcPr>
            <w:tcW w:w="2213" w:type="dxa"/>
            <w:vAlign w:val="bottom"/>
          </w:tcPr>
          <w:p w:rsidR="002E048C" w:rsidRPr="00DD7DCA" w:rsidP="00DB1669" w14:paraId="7719B84C" w14:textId="77777777">
            <w:pPr>
              <w:keepNext/>
              <w:keepLines/>
              <w:spacing w:after="120"/>
              <w:jc w:val="center"/>
              <w:rPr>
                <w:rFonts w:cs="Times New Roman"/>
                <w:bCs w:val="0"/>
                <w:color w:val="FF0000"/>
                <w:kern w:val="0"/>
                <w:szCs w:val="22"/>
              </w:rPr>
            </w:pPr>
            <w:r w:rsidRPr="00DD7DCA">
              <w:rPr>
                <w:rFonts w:cs="Times New Roman"/>
                <w:bCs w:val="0"/>
                <w:kern w:val="0"/>
                <w:szCs w:val="22"/>
              </w:rPr>
              <w:t>78.</w:t>
            </w:r>
            <w:r w:rsidRPr="00DD7DCA" w:rsidR="00DD7DCA">
              <w:rPr>
                <w:rFonts w:cs="Times New Roman"/>
                <w:bCs w:val="0"/>
                <w:kern w:val="0"/>
                <w:szCs w:val="22"/>
              </w:rPr>
              <w:t>7</w:t>
            </w:r>
            <w:r w:rsidRPr="00DD7DCA">
              <w:rPr>
                <w:rFonts w:cs="Times New Roman"/>
                <w:bCs w:val="0"/>
                <w:kern w:val="0"/>
                <w:szCs w:val="22"/>
              </w:rPr>
              <w:t>%</w:t>
            </w:r>
          </w:p>
        </w:tc>
      </w:tr>
      <w:tr w14:paraId="282695D4" w14:textId="77777777" w:rsidTr="004907E1">
        <w:tblPrEx>
          <w:tblW w:w="9262" w:type="dxa"/>
          <w:tblInd w:w="93" w:type="dxa"/>
          <w:tblLayout w:type="fixed"/>
          <w:tblLook w:val="0000"/>
        </w:tblPrEx>
        <w:trPr>
          <w:cantSplit/>
          <w:trHeight w:val="222"/>
        </w:trPr>
        <w:tc>
          <w:tcPr>
            <w:tcW w:w="1761" w:type="dxa"/>
            <w:shd w:val="clear" w:color="auto" w:fill="FFFFFF" w:themeFill="background1"/>
            <w:vAlign w:val="bottom"/>
          </w:tcPr>
          <w:p w:rsidR="002E048C" w:rsidRPr="00DD7DCA" w:rsidP="00DB1669" w14:paraId="590E5461" w14:textId="77777777">
            <w:pPr>
              <w:keepNext/>
              <w:keepLines/>
              <w:spacing w:after="120"/>
              <w:jc w:val="right"/>
              <w:rPr>
                <w:rFonts w:cs="Times New Roman"/>
                <w:bCs w:val="0"/>
                <w:color w:val="000000"/>
                <w:kern w:val="0"/>
                <w:szCs w:val="22"/>
              </w:rPr>
            </w:pPr>
            <w:r w:rsidRPr="00DD7DCA">
              <w:rPr>
                <w:rFonts w:cs="Times New Roman"/>
                <w:color w:val="000000"/>
                <w:kern w:val="0"/>
                <w:szCs w:val="22"/>
              </w:rPr>
              <w:t>Television Broadcasters</w:t>
            </w:r>
          </w:p>
        </w:tc>
        <w:tc>
          <w:tcPr>
            <w:tcW w:w="1762" w:type="dxa"/>
            <w:shd w:val="clear" w:color="auto" w:fill="FFFFFF" w:themeFill="background1"/>
            <w:vAlign w:val="bottom"/>
          </w:tcPr>
          <w:p w:rsidR="002E048C" w:rsidRPr="00DD7DCA" w:rsidP="00DB1669" w14:paraId="15C80414" w14:textId="77777777">
            <w:pPr>
              <w:keepNext/>
              <w:keepLines/>
              <w:spacing w:after="120"/>
              <w:jc w:val="center"/>
              <w:rPr>
                <w:rFonts w:cs="Times New Roman"/>
                <w:bCs w:val="0"/>
                <w:color w:val="FF0000"/>
                <w:kern w:val="0"/>
                <w:szCs w:val="22"/>
              </w:rPr>
            </w:pPr>
            <w:r w:rsidRPr="00DD7DCA">
              <w:rPr>
                <w:rFonts w:cs="Times New Roman"/>
                <w:bCs w:val="0"/>
                <w:kern w:val="0"/>
                <w:szCs w:val="22"/>
              </w:rPr>
              <w:t>4056</w:t>
            </w:r>
          </w:p>
        </w:tc>
        <w:tc>
          <w:tcPr>
            <w:tcW w:w="1763" w:type="dxa"/>
            <w:shd w:val="clear" w:color="auto" w:fill="FFFFFF" w:themeFill="background1"/>
            <w:vAlign w:val="bottom"/>
          </w:tcPr>
          <w:p w:rsidR="002E048C" w:rsidRPr="00DD7DCA" w:rsidP="00DB1669" w14:paraId="355129E4" w14:textId="77777777">
            <w:pPr>
              <w:keepNext/>
              <w:keepLines/>
              <w:spacing w:after="120"/>
              <w:jc w:val="center"/>
              <w:rPr>
                <w:rFonts w:cs="Times New Roman"/>
                <w:bCs w:val="0"/>
                <w:color w:val="000000"/>
                <w:kern w:val="0"/>
                <w:szCs w:val="22"/>
              </w:rPr>
            </w:pPr>
            <w:r w:rsidRPr="00DD7DCA">
              <w:rPr>
                <w:rFonts w:cs="Times New Roman"/>
                <w:szCs w:val="22"/>
              </w:rPr>
              <w:t>29</w:t>
            </w:r>
            <w:r w:rsidRPr="00DD7DCA" w:rsidR="00DD7DCA">
              <w:rPr>
                <w:rFonts w:cs="Times New Roman"/>
                <w:szCs w:val="22"/>
              </w:rPr>
              <w:t>08</w:t>
            </w:r>
          </w:p>
        </w:tc>
        <w:tc>
          <w:tcPr>
            <w:tcW w:w="1763" w:type="dxa"/>
            <w:shd w:val="clear" w:color="auto" w:fill="FFFFFF" w:themeFill="background1"/>
            <w:vAlign w:val="bottom"/>
          </w:tcPr>
          <w:p w:rsidR="002E048C" w:rsidRPr="00DD7DCA" w:rsidP="00DB1669" w14:paraId="05C0D344" w14:textId="77777777">
            <w:pPr>
              <w:keepNext/>
              <w:keepLines/>
              <w:spacing w:after="120"/>
              <w:jc w:val="center"/>
              <w:rPr>
                <w:rFonts w:cs="Times New Roman"/>
                <w:bCs w:val="0"/>
                <w:color w:val="000000"/>
                <w:kern w:val="0"/>
                <w:szCs w:val="22"/>
              </w:rPr>
            </w:pPr>
            <w:r w:rsidRPr="00DD7DCA">
              <w:rPr>
                <w:rFonts w:cs="Times New Roman"/>
                <w:bCs w:val="0"/>
                <w:color w:val="000000"/>
                <w:kern w:val="0"/>
                <w:szCs w:val="22"/>
              </w:rPr>
              <w:t>2</w:t>
            </w:r>
            <w:r w:rsidRPr="00DD7DCA" w:rsidR="00DD7DCA">
              <w:rPr>
                <w:rFonts w:cs="Times New Roman"/>
                <w:bCs w:val="0"/>
                <w:color w:val="000000"/>
                <w:kern w:val="0"/>
                <w:szCs w:val="22"/>
              </w:rPr>
              <w:t>658</w:t>
            </w:r>
          </w:p>
        </w:tc>
        <w:tc>
          <w:tcPr>
            <w:tcW w:w="2213" w:type="dxa"/>
            <w:shd w:val="clear" w:color="auto" w:fill="FFFFFF" w:themeFill="background1"/>
            <w:vAlign w:val="bottom"/>
          </w:tcPr>
          <w:p w:rsidR="002E048C" w:rsidRPr="00DD7DCA" w:rsidP="00DB1669" w14:paraId="51759D76" w14:textId="77777777">
            <w:pPr>
              <w:keepNext/>
              <w:keepLines/>
              <w:spacing w:after="120"/>
              <w:jc w:val="center"/>
              <w:rPr>
                <w:rFonts w:cs="Times New Roman"/>
                <w:bCs w:val="0"/>
                <w:color w:val="FF0000"/>
                <w:kern w:val="0"/>
                <w:szCs w:val="22"/>
              </w:rPr>
            </w:pPr>
            <w:r w:rsidRPr="00DD7DCA">
              <w:rPr>
                <w:rFonts w:cs="Times New Roman"/>
                <w:bCs w:val="0"/>
                <w:kern w:val="0"/>
                <w:szCs w:val="22"/>
              </w:rPr>
              <w:t>6</w:t>
            </w:r>
            <w:r w:rsidRPr="00DD7DCA" w:rsidR="00DD7DCA">
              <w:rPr>
                <w:rFonts w:cs="Times New Roman"/>
                <w:bCs w:val="0"/>
                <w:kern w:val="0"/>
                <w:szCs w:val="22"/>
              </w:rPr>
              <w:t>5</w:t>
            </w:r>
            <w:r w:rsidRPr="00DD7DCA">
              <w:rPr>
                <w:rFonts w:cs="Times New Roman"/>
                <w:bCs w:val="0"/>
                <w:kern w:val="0"/>
                <w:szCs w:val="22"/>
              </w:rPr>
              <w:t>.5%</w:t>
            </w:r>
          </w:p>
        </w:tc>
      </w:tr>
      <w:tr w14:paraId="05E60669" w14:textId="77777777" w:rsidTr="00E85CCB">
        <w:tblPrEx>
          <w:tblW w:w="9262" w:type="dxa"/>
          <w:tblInd w:w="93" w:type="dxa"/>
          <w:tblLayout w:type="fixed"/>
          <w:tblLook w:val="0000"/>
        </w:tblPrEx>
        <w:trPr>
          <w:cantSplit/>
          <w:trHeight w:val="152"/>
        </w:trPr>
        <w:tc>
          <w:tcPr>
            <w:tcW w:w="1761" w:type="dxa"/>
            <w:shd w:val="clear" w:color="auto" w:fill="FFFFFF" w:themeFill="background1"/>
            <w:noWrap/>
            <w:vAlign w:val="bottom"/>
          </w:tcPr>
          <w:p w:rsidR="002E048C" w:rsidRPr="00DD7DCA" w:rsidP="00DB1669" w14:paraId="6B4EB74F" w14:textId="77777777">
            <w:pPr>
              <w:keepNext/>
              <w:keepLines/>
              <w:spacing w:after="120"/>
              <w:jc w:val="right"/>
              <w:rPr>
                <w:rFonts w:cs="Times New Roman"/>
                <w:color w:val="000000"/>
                <w:kern w:val="0"/>
                <w:szCs w:val="22"/>
              </w:rPr>
            </w:pPr>
            <w:r w:rsidRPr="00DD7DCA">
              <w:rPr>
                <w:rFonts w:cs="Times New Roman"/>
                <w:color w:val="000000"/>
                <w:kern w:val="0"/>
                <w:szCs w:val="22"/>
              </w:rPr>
              <w:t>Cable Systems</w:t>
            </w:r>
          </w:p>
        </w:tc>
        <w:tc>
          <w:tcPr>
            <w:tcW w:w="1762" w:type="dxa"/>
            <w:vMerge w:val="restart"/>
            <w:shd w:val="clear" w:color="auto" w:fill="FFFFFF" w:themeFill="background1"/>
            <w:vAlign w:val="center"/>
          </w:tcPr>
          <w:p w:rsidR="002E048C" w:rsidRPr="00E85CCB" w:rsidP="00E85CCB" w14:paraId="4E789B6A" w14:textId="4E91126E">
            <w:pPr>
              <w:keepNext/>
              <w:keepLines/>
              <w:spacing w:after="120"/>
              <w:jc w:val="center"/>
              <w:rPr>
                <w:rFonts w:cs="Times New Roman"/>
                <w:bCs w:val="0"/>
                <w:kern w:val="0"/>
                <w:szCs w:val="22"/>
              </w:rPr>
            </w:pPr>
            <w:r w:rsidRPr="004907E1">
              <w:rPr>
                <w:rFonts w:cs="Times New Roman"/>
                <w:bCs w:val="0"/>
                <w:kern w:val="0"/>
                <w:szCs w:val="22"/>
              </w:rPr>
              <w:t>4083</w:t>
            </w:r>
          </w:p>
        </w:tc>
        <w:tc>
          <w:tcPr>
            <w:tcW w:w="1763" w:type="dxa"/>
            <w:shd w:val="clear" w:color="auto" w:fill="FFFFFF" w:themeFill="background1"/>
            <w:noWrap/>
            <w:vAlign w:val="center"/>
          </w:tcPr>
          <w:p w:rsidR="002E048C" w:rsidRPr="00DD7DCA" w:rsidP="00E85CCB" w14:paraId="03EF2307" w14:textId="77777777">
            <w:pPr>
              <w:keepNext/>
              <w:keepLines/>
              <w:spacing w:after="120"/>
              <w:jc w:val="center"/>
              <w:rPr>
                <w:rFonts w:cs="Times New Roman"/>
                <w:szCs w:val="22"/>
              </w:rPr>
            </w:pPr>
            <w:r w:rsidRPr="00DD7DCA">
              <w:rPr>
                <w:rFonts w:cs="Times New Roman"/>
                <w:szCs w:val="22"/>
              </w:rPr>
              <w:t>4988</w:t>
            </w:r>
          </w:p>
        </w:tc>
        <w:tc>
          <w:tcPr>
            <w:tcW w:w="1763" w:type="dxa"/>
            <w:shd w:val="clear" w:color="auto" w:fill="FFFFFF" w:themeFill="background1"/>
            <w:vAlign w:val="center"/>
          </w:tcPr>
          <w:p w:rsidR="002E048C" w:rsidRPr="00DD7DCA" w:rsidP="00E85CCB" w14:paraId="081F7E24" w14:textId="77777777">
            <w:pPr>
              <w:keepNext/>
              <w:keepLines/>
              <w:spacing w:after="120"/>
              <w:jc w:val="center"/>
              <w:rPr>
                <w:rFonts w:cs="Times New Roman"/>
                <w:bCs w:val="0"/>
                <w:color w:val="000000"/>
                <w:kern w:val="0"/>
                <w:szCs w:val="22"/>
              </w:rPr>
            </w:pPr>
            <w:r w:rsidRPr="00DD7DCA">
              <w:rPr>
                <w:rFonts w:cs="Times New Roman"/>
                <w:bCs w:val="0"/>
                <w:color w:val="000000"/>
                <w:kern w:val="0"/>
                <w:szCs w:val="22"/>
              </w:rPr>
              <w:t>28</w:t>
            </w:r>
            <w:r w:rsidRPr="00DD7DCA" w:rsidR="00DD7DCA">
              <w:rPr>
                <w:rFonts w:cs="Times New Roman"/>
                <w:bCs w:val="0"/>
                <w:color w:val="000000"/>
                <w:kern w:val="0"/>
                <w:szCs w:val="22"/>
              </w:rPr>
              <w:t>12</w:t>
            </w:r>
          </w:p>
        </w:tc>
        <w:tc>
          <w:tcPr>
            <w:tcW w:w="2213" w:type="dxa"/>
            <w:vMerge w:val="restart"/>
            <w:shd w:val="clear" w:color="auto" w:fill="FFFFFF" w:themeFill="background1"/>
            <w:vAlign w:val="bottom"/>
          </w:tcPr>
          <w:p w:rsidR="002E048C" w:rsidRPr="00DD7DCA" w:rsidP="004907E1" w14:paraId="3BB768D6" w14:textId="6FE28AF1">
            <w:pPr>
              <w:keepNext/>
              <w:keepLines/>
              <w:spacing w:after="120"/>
              <w:ind w:right="-18"/>
              <w:jc w:val="center"/>
              <w:rPr>
                <w:rFonts w:cs="Times New Roman"/>
                <w:bCs w:val="0"/>
                <w:color w:val="FF0000"/>
                <w:kern w:val="0"/>
                <w:szCs w:val="22"/>
              </w:rPr>
            </w:pPr>
            <w:r w:rsidRPr="00DD7DCA">
              <w:rPr>
                <w:rFonts w:cs="Times New Roman"/>
                <w:bCs w:val="0"/>
                <w:kern w:val="0"/>
                <w:szCs w:val="22"/>
              </w:rPr>
              <w:t>7</w:t>
            </w:r>
            <w:r w:rsidRPr="00DD7DCA" w:rsidR="00DD7DCA">
              <w:rPr>
                <w:rFonts w:cs="Times New Roman"/>
                <w:bCs w:val="0"/>
                <w:kern w:val="0"/>
                <w:szCs w:val="22"/>
              </w:rPr>
              <w:t>6</w:t>
            </w:r>
            <w:r w:rsidRPr="00DD7DCA">
              <w:rPr>
                <w:rFonts w:cs="Times New Roman"/>
                <w:bCs w:val="0"/>
                <w:kern w:val="0"/>
                <w:szCs w:val="22"/>
              </w:rPr>
              <w:t>.</w:t>
            </w:r>
            <w:r w:rsidR="004907E1">
              <w:rPr>
                <w:rFonts w:cs="Times New Roman"/>
                <w:bCs w:val="0"/>
                <w:kern w:val="0"/>
                <w:szCs w:val="22"/>
              </w:rPr>
              <w:t>4%</w:t>
            </w:r>
          </w:p>
          <w:p w:rsidR="002E048C" w:rsidRPr="00DD7DCA" w:rsidP="00DB1669" w14:paraId="063DA4C0" w14:textId="77777777">
            <w:pPr>
              <w:keepNext/>
              <w:keepLines/>
              <w:spacing w:after="120"/>
              <w:jc w:val="center"/>
              <w:rPr>
                <w:rFonts w:cs="Times New Roman"/>
                <w:bCs w:val="0"/>
                <w:color w:val="FF0000"/>
                <w:kern w:val="0"/>
                <w:szCs w:val="22"/>
              </w:rPr>
            </w:pPr>
          </w:p>
        </w:tc>
      </w:tr>
      <w:tr w14:paraId="49480D66" w14:textId="77777777" w:rsidTr="00E85CCB">
        <w:tblPrEx>
          <w:tblW w:w="9262" w:type="dxa"/>
          <w:tblInd w:w="93" w:type="dxa"/>
          <w:tblLayout w:type="fixed"/>
          <w:tblLook w:val="0000"/>
        </w:tblPrEx>
        <w:trPr>
          <w:cantSplit/>
          <w:trHeight w:val="222"/>
        </w:trPr>
        <w:tc>
          <w:tcPr>
            <w:tcW w:w="1761" w:type="dxa"/>
            <w:shd w:val="clear" w:color="auto" w:fill="FFFFFF" w:themeFill="background1"/>
            <w:noWrap/>
            <w:vAlign w:val="bottom"/>
          </w:tcPr>
          <w:p w:rsidR="002E048C" w:rsidRPr="00DD7DCA" w:rsidP="00DB1669" w14:paraId="0C51B12A" w14:textId="77777777">
            <w:pPr>
              <w:keepNext/>
              <w:keepLines/>
              <w:spacing w:after="120"/>
              <w:jc w:val="right"/>
              <w:rPr>
                <w:rFonts w:cs="Times New Roman"/>
                <w:color w:val="000000"/>
                <w:kern w:val="0"/>
                <w:szCs w:val="22"/>
              </w:rPr>
            </w:pPr>
            <w:r w:rsidRPr="00DD7DCA">
              <w:rPr>
                <w:rFonts w:cs="Times New Roman"/>
                <w:bCs w:val="0"/>
                <w:color w:val="000000"/>
                <w:kern w:val="0"/>
                <w:szCs w:val="22"/>
              </w:rPr>
              <w:t>IPTV Provider</w:t>
            </w:r>
            <w:r w:rsidR="00B3225D">
              <w:rPr>
                <w:rFonts w:cs="Times New Roman"/>
                <w:bCs w:val="0"/>
                <w:color w:val="000000"/>
                <w:kern w:val="0"/>
                <w:szCs w:val="22"/>
              </w:rPr>
              <w:t>s</w:t>
            </w:r>
          </w:p>
        </w:tc>
        <w:tc>
          <w:tcPr>
            <w:tcW w:w="1762" w:type="dxa"/>
            <w:vMerge/>
            <w:shd w:val="clear" w:color="auto" w:fill="FFFFFF"/>
            <w:vAlign w:val="bottom"/>
          </w:tcPr>
          <w:p w:rsidR="002E048C" w:rsidRPr="00DD7DCA" w:rsidP="00DB1669" w14:paraId="3506564D" w14:textId="77777777">
            <w:pPr>
              <w:keepNext/>
              <w:keepLines/>
              <w:spacing w:after="120"/>
              <w:jc w:val="center"/>
              <w:rPr>
                <w:rFonts w:cs="Times New Roman"/>
                <w:bCs w:val="0"/>
                <w:color w:val="FF0000"/>
                <w:kern w:val="0"/>
                <w:szCs w:val="22"/>
              </w:rPr>
            </w:pPr>
          </w:p>
        </w:tc>
        <w:tc>
          <w:tcPr>
            <w:tcW w:w="1763" w:type="dxa"/>
            <w:shd w:val="clear" w:color="auto" w:fill="FFFFFF" w:themeFill="background1"/>
            <w:noWrap/>
            <w:vAlign w:val="center"/>
          </w:tcPr>
          <w:p w:rsidR="002E048C" w:rsidRPr="00DD7DCA" w:rsidP="00E85CCB" w14:paraId="4F29963C" w14:textId="77777777">
            <w:pPr>
              <w:keepNext/>
              <w:keepLines/>
              <w:spacing w:after="120"/>
              <w:jc w:val="center"/>
              <w:rPr>
                <w:rFonts w:cs="Times New Roman"/>
                <w:bCs w:val="0"/>
                <w:color w:val="000000"/>
                <w:kern w:val="0"/>
                <w:szCs w:val="22"/>
              </w:rPr>
            </w:pPr>
            <w:r w:rsidRPr="00DD7DCA">
              <w:rPr>
                <w:rFonts w:cs="Times New Roman"/>
                <w:szCs w:val="22"/>
              </w:rPr>
              <w:t>2</w:t>
            </w:r>
            <w:r w:rsidRPr="00DD7DCA" w:rsidR="00DD7DCA">
              <w:rPr>
                <w:rFonts w:cs="Times New Roman"/>
                <w:szCs w:val="22"/>
              </w:rPr>
              <w:t>46</w:t>
            </w:r>
          </w:p>
        </w:tc>
        <w:tc>
          <w:tcPr>
            <w:tcW w:w="1763" w:type="dxa"/>
            <w:shd w:val="clear" w:color="auto" w:fill="FFFFFF" w:themeFill="background1"/>
            <w:vAlign w:val="center"/>
          </w:tcPr>
          <w:p w:rsidR="002E048C" w:rsidRPr="00DD7DCA" w:rsidP="00E85CCB" w14:paraId="09755E38" w14:textId="77777777">
            <w:pPr>
              <w:keepNext/>
              <w:keepLines/>
              <w:spacing w:after="120"/>
              <w:jc w:val="center"/>
              <w:rPr>
                <w:rFonts w:cs="Times New Roman"/>
                <w:bCs w:val="0"/>
                <w:color w:val="000000"/>
                <w:kern w:val="0"/>
                <w:szCs w:val="22"/>
              </w:rPr>
            </w:pPr>
            <w:r w:rsidRPr="00DD7DCA">
              <w:rPr>
                <w:rFonts w:cs="Times New Roman"/>
                <w:bCs w:val="0"/>
                <w:color w:val="000000"/>
                <w:kern w:val="0"/>
                <w:szCs w:val="22"/>
              </w:rPr>
              <w:t>2</w:t>
            </w:r>
            <w:r w:rsidRPr="00DD7DCA" w:rsidR="00DD7DCA">
              <w:rPr>
                <w:rFonts w:cs="Times New Roman"/>
                <w:bCs w:val="0"/>
                <w:color w:val="000000"/>
                <w:kern w:val="0"/>
                <w:szCs w:val="22"/>
              </w:rPr>
              <w:t>46</w:t>
            </w:r>
          </w:p>
        </w:tc>
        <w:tc>
          <w:tcPr>
            <w:tcW w:w="2213" w:type="dxa"/>
            <w:vMerge/>
            <w:shd w:val="clear" w:color="auto" w:fill="FFFFFF"/>
            <w:vAlign w:val="bottom"/>
          </w:tcPr>
          <w:p w:rsidR="002E048C" w:rsidRPr="00DD7DCA" w:rsidP="00DB1669" w14:paraId="76AC410A" w14:textId="77777777">
            <w:pPr>
              <w:keepNext/>
              <w:keepLines/>
              <w:spacing w:after="120"/>
              <w:jc w:val="center"/>
              <w:rPr>
                <w:rFonts w:cs="Times New Roman"/>
                <w:bCs w:val="0"/>
                <w:color w:val="FF0000"/>
                <w:kern w:val="0"/>
                <w:szCs w:val="22"/>
              </w:rPr>
            </w:pPr>
          </w:p>
        </w:tc>
      </w:tr>
      <w:tr w14:paraId="2C2D5C3C" w14:textId="77777777" w:rsidTr="004907E1">
        <w:tblPrEx>
          <w:tblW w:w="9262" w:type="dxa"/>
          <w:tblInd w:w="93" w:type="dxa"/>
          <w:tblLayout w:type="fixed"/>
          <w:tblLook w:val="0000"/>
        </w:tblPrEx>
        <w:trPr>
          <w:cantSplit/>
          <w:trHeight w:val="647"/>
        </w:trPr>
        <w:tc>
          <w:tcPr>
            <w:tcW w:w="1761" w:type="dxa"/>
            <w:vAlign w:val="center"/>
          </w:tcPr>
          <w:p w:rsidR="002E048C" w:rsidRPr="00DD7DCA" w:rsidP="004907E1" w14:paraId="6C36EA21" w14:textId="77777777">
            <w:pPr>
              <w:keepNext/>
              <w:keepLines/>
              <w:spacing w:after="120"/>
              <w:jc w:val="right"/>
              <w:rPr>
                <w:rFonts w:cs="Times New Roman"/>
                <w:bCs w:val="0"/>
                <w:color w:val="000000"/>
                <w:kern w:val="0"/>
                <w:szCs w:val="22"/>
              </w:rPr>
            </w:pPr>
            <w:r w:rsidRPr="00DD7DCA">
              <w:rPr>
                <w:rFonts w:cs="Times New Roman"/>
                <w:bCs w:val="0"/>
                <w:color w:val="000000"/>
                <w:kern w:val="0"/>
                <w:szCs w:val="22"/>
              </w:rPr>
              <w:t>Wireline Video System</w:t>
            </w:r>
            <w:r>
              <w:rPr>
                <w:rFonts w:cs="Times New Roman"/>
                <w:bCs w:val="0"/>
                <w:color w:val="000000"/>
                <w:kern w:val="0"/>
                <w:szCs w:val="22"/>
              </w:rPr>
              <w:t>s</w:t>
            </w:r>
          </w:p>
        </w:tc>
        <w:tc>
          <w:tcPr>
            <w:tcW w:w="1762" w:type="dxa"/>
            <w:vMerge/>
            <w:vAlign w:val="bottom"/>
          </w:tcPr>
          <w:p w:rsidR="002E048C" w:rsidRPr="00DD7DCA" w:rsidP="00DB1669" w14:paraId="11C0D94B" w14:textId="77777777">
            <w:pPr>
              <w:keepNext/>
              <w:keepLines/>
              <w:spacing w:after="120"/>
              <w:jc w:val="center"/>
              <w:rPr>
                <w:rFonts w:cs="Times New Roman"/>
                <w:bCs w:val="0"/>
                <w:color w:val="FF0000"/>
                <w:kern w:val="0"/>
                <w:szCs w:val="22"/>
              </w:rPr>
            </w:pPr>
          </w:p>
        </w:tc>
        <w:tc>
          <w:tcPr>
            <w:tcW w:w="1763" w:type="dxa"/>
            <w:vAlign w:val="center"/>
          </w:tcPr>
          <w:p w:rsidR="002E048C" w:rsidRPr="00DD7DCA" w:rsidP="004907E1" w14:paraId="2E5CDBE7" w14:textId="77777777">
            <w:pPr>
              <w:keepNext/>
              <w:keepLines/>
              <w:spacing w:after="120"/>
              <w:jc w:val="center"/>
              <w:rPr>
                <w:rFonts w:cs="Times New Roman"/>
                <w:bCs w:val="0"/>
                <w:color w:val="000000"/>
                <w:kern w:val="0"/>
                <w:szCs w:val="22"/>
              </w:rPr>
            </w:pPr>
            <w:r>
              <w:rPr>
                <w:rFonts w:cs="Times New Roman"/>
                <w:bCs w:val="0"/>
                <w:color w:val="000000"/>
                <w:kern w:val="0"/>
                <w:szCs w:val="22"/>
              </w:rPr>
              <w:t>89</w:t>
            </w:r>
          </w:p>
        </w:tc>
        <w:tc>
          <w:tcPr>
            <w:tcW w:w="1763" w:type="dxa"/>
            <w:vAlign w:val="center"/>
          </w:tcPr>
          <w:p w:rsidR="002E048C" w:rsidRPr="00DD7DCA" w:rsidP="004907E1" w14:paraId="3B6CF599" w14:textId="77777777">
            <w:pPr>
              <w:keepNext/>
              <w:keepLines/>
              <w:spacing w:after="120"/>
              <w:jc w:val="center"/>
              <w:rPr>
                <w:rFonts w:cs="Times New Roman"/>
                <w:bCs w:val="0"/>
                <w:color w:val="000000"/>
                <w:kern w:val="0"/>
                <w:szCs w:val="22"/>
              </w:rPr>
            </w:pPr>
            <w:r>
              <w:rPr>
                <w:rFonts w:cs="Times New Roman"/>
                <w:bCs w:val="0"/>
                <w:color w:val="000000"/>
                <w:kern w:val="0"/>
                <w:szCs w:val="22"/>
              </w:rPr>
              <w:t>63</w:t>
            </w:r>
          </w:p>
        </w:tc>
        <w:tc>
          <w:tcPr>
            <w:tcW w:w="2213" w:type="dxa"/>
            <w:vMerge/>
            <w:vAlign w:val="bottom"/>
          </w:tcPr>
          <w:p w:rsidR="002E048C" w:rsidRPr="00DD7DCA" w:rsidP="00DB1669" w14:paraId="5E16CFC3" w14:textId="77777777">
            <w:pPr>
              <w:keepNext/>
              <w:keepLines/>
              <w:spacing w:after="120"/>
              <w:jc w:val="center"/>
              <w:rPr>
                <w:rFonts w:cs="Times New Roman"/>
                <w:bCs w:val="0"/>
                <w:color w:val="FF0000"/>
                <w:kern w:val="0"/>
                <w:szCs w:val="22"/>
              </w:rPr>
            </w:pPr>
          </w:p>
        </w:tc>
      </w:tr>
      <w:tr w14:paraId="08A0ECF6" w14:textId="77777777" w:rsidTr="004907E1">
        <w:tblPrEx>
          <w:tblW w:w="9262" w:type="dxa"/>
          <w:tblInd w:w="93" w:type="dxa"/>
          <w:tblLayout w:type="fixed"/>
          <w:tblLook w:val="0000"/>
        </w:tblPrEx>
        <w:trPr>
          <w:cantSplit/>
          <w:trHeight w:val="222"/>
        </w:trPr>
        <w:tc>
          <w:tcPr>
            <w:tcW w:w="1761" w:type="dxa"/>
            <w:vAlign w:val="bottom"/>
          </w:tcPr>
          <w:p w:rsidR="002E048C" w:rsidRPr="00DD7DCA" w:rsidP="00DB1669" w14:paraId="32C6194A" w14:textId="77777777">
            <w:pPr>
              <w:keepNext/>
              <w:keepLines/>
              <w:spacing w:after="120"/>
              <w:jc w:val="right"/>
              <w:rPr>
                <w:rFonts w:cs="Times New Roman"/>
                <w:bCs w:val="0"/>
                <w:color w:val="000000"/>
                <w:kern w:val="0"/>
                <w:szCs w:val="22"/>
              </w:rPr>
            </w:pPr>
            <w:r w:rsidRPr="00DD7DCA">
              <w:rPr>
                <w:rFonts w:cs="Times New Roman"/>
                <w:bCs w:val="0"/>
                <w:color w:val="000000"/>
                <w:kern w:val="0"/>
                <w:szCs w:val="22"/>
              </w:rPr>
              <w:t>Other</w:t>
            </w:r>
            <w:r>
              <w:rPr>
                <w:rStyle w:val="FootnoteReference"/>
                <w:bCs w:val="0"/>
                <w:kern w:val="0"/>
                <w:szCs w:val="22"/>
              </w:rPr>
              <w:footnoteReference w:id="53"/>
            </w:r>
          </w:p>
        </w:tc>
        <w:tc>
          <w:tcPr>
            <w:tcW w:w="1762" w:type="dxa"/>
            <w:vAlign w:val="bottom"/>
          </w:tcPr>
          <w:p w:rsidR="002E048C" w:rsidRPr="00DD7DCA" w:rsidP="00DB1669" w14:paraId="74C4F366" w14:textId="77777777">
            <w:pPr>
              <w:keepNext/>
              <w:keepLines/>
              <w:spacing w:after="120"/>
              <w:jc w:val="center"/>
              <w:rPr>
                <w:rFonts w:cs="Times New Roman"/>
                <w:bCs w:val="0"/>
                <w:color w:val="FF0000"/>
                <w:kern w:val="0"/>
                <w:szCs w:val="22"/>
              </w:rPr>
            </w:pPr>
            <w:r w:rsidRPr="00DD7DCA">
              <w:rPr>
                <w:rFonts w:cs="Times New Roman"/>
                <w:bCs w:val="0"/>
                <w:kern w:val="0"/>
                <w:szCs w:val="22"/>
              </w:rPr>
              <w:t>n/a</w:t>
            </w:r>
          </w:p>
        </w:tc>
        <w:tc>
          <w:tcPr>
            <w:tcW w:w="1763" w:type="dxa"/>
            <w:vAlign w:val="bottom"/>
          </w:tcPr>
          <w:p w:rsidR="002E048C" w:rsidRPr="00DD7DCA" w:rsidP="00DB1669" w14:paraId="42BA8B80" w14:textId="77777777">
            <w:pPr>
              <w:keepNext/>
              <w:keepLines/>
              <w:spacing w:after="120"/>
              <w:jc w:val="center"/>
              <w:rPr>
                <w:rFonts w:cs="Times New Roman"/>
                <w:bCs w:val="0"/>
                <w:color w:val="000000"/>
                <w:kern w:val="0"/>
                <w:szCs w:val="22"/>
              </w:rPr>
            </w:pPr>
            <w:r w:rsidRPr="00DD7DCA">
              <w:rPr>
                <w:rFonts w:cs="Times New Roman"/>
                <w:bCs w:val="0"/>
                <w:color w:val="000000"/>
                <w:kern w:val="0"/>
                <w:szCs w:val="22"/>
              </w:rPr>
              <w:t>1</w:t>
            </w:r>
            <w:r w:rsidRPr="00DD7DCA" w:rsidR="00DD7DCA">
              <w:rPr>
                <w:rFonts w:cs="Times New Roman"/>
                <w:bCs w:val="0"/>
                <w:color w:val="000000"/>
                <w:kern w:val="0"/>
                <w:szCs w:val="22"/>
              </w:rPr>
              <w:t>7</w:t>
            </w:r>
          </w:p>
        </w:tc>
        <w:tc>
          <w:tcPr>
            <w:tcW w:w="1763" w:type="dxa"/>
            <w:vAlign w:val="bottom"/>
          </w:tcPr>
          <w:p w:rsidR="002E048C" w:rsidRPr="00DD7DCA" w:rsidP="00DB1669" w14:paraId="09867DE7" w14:textId="77777777">
            <w:pPr>
              <w:keepNext/>
              <w:keepLines/>
              <w:spacing w:after="120"/>
              <w:jc w:val="center"/>
              <w:rPr>
                <w:rFonts w:cs="Times New Roman"/>
                <w:bCs w:val="0"/>
                <w:color w:val="000000"/>
                <w:kern w:val="0"/>
                <w:szCs w:val="22"/>
              </w:rPr>
            </w:pPr>
            <w:r w:rsidRPr="00DD7DCA">
              <w:rPr>
                <w:rFonts w:cs="Times New Roman"/>
                <w:bCs w:val="0"/>
                <w:color w:val="000000"/>
                <w:kern w:val="0"/>
                <w:szCs w:val="22"/>
              </w:rPr>
              <w:t>1</w:t>
            </w:r>
            <w:r w:rsidRPr="00DD7DCA" w:rsidR="00DD7DCA">
              <w:rPr>
                <w:rFonts w:cs="Times New Roman"/>
                <w:bCs w:val="0"/>
                <w:color w:val="000000"/>
                <w:kern w:val="0"/>
                <w:szCs w:val="22"/>
              </w:rPr>
              <w:t>7</w:t>
            </w:r>
          </w:p>
        </w:tc>
        <w:tc>
          <w:tcPr>
            <w:tcW w:w="2213" w:type="dxa"/>
            <w:vAlign w:val="bottom"/>
          </w:tcPr>
          <w:p w:rsidR="002E048C" w:rsidRPr="00DD7DCA" w:rsidP="00DB1669" w14:paraId="0798B693" w14:textId="77777777">
            <w:pPr>
              <w:keepNext/>
              <w:keepLines/>
              <w:spacing w:after="120"/>
              <w:jc w:val="center"/>
              <w:rPr>
                <w:rFonts w:cs="Times New Roman"/>
                <w:bCs w:val="0"/>
                <w:color w:val="FF0000"/>
                <w:kern w:val="0"/>
                <w:szCs w:val="22"/>
              </w:rPr>
            </w:pPr>
            <w:r w:rsidRPr="00DD7DCA">
              <w:rPr>
                <w:rFonts w:cs="Times New Roman"/>
                <w:bCs w:val="0"/>
                <w:kern w:val="0"/>
                <w:szCs w:val="22"/>
              </w:rPr>
              <w:t>n/a</w:t>
            </w:r>
          </w:p>
        </w:tc>
      </w:tr>
      <w:tr w14:paraId="09CFA7FD" w14:textId="77777777" w:rsidTr="004907E1">
        <w:tblPrEx>
          <w:tblW w:w="9262" w:type="dxa"/>
          <w:tblInd w:w="93" w:type="dxa"/>
          <w:tblLayout w:type="fixed"/>
          <w:tblLook w:val="0000"/>
        </w:tblPrEx>
        <w:trPr>
          <w:cantSplit/>
          <w:trHeight w:val="63"/>
        </w:trPr>
        <w:tc>
          <w:tcPr>
            <w:tcW w:w="1761" w:type="dxa"/>
            <w:shd w:val="clear" w:color="auto" w:fill="C0C0C0"/>
            <w:vAlign w:val="bottom"/>
          </w:tcPr>
          <w:p w:rsidR="002E048C" w:rsidRPr="00DD7DCA" w:rsidP="00DB1669" w14:paraId="20AF5EC1" w14:textId="77777777">
            <w:pPr>
              <w:keepLines/>
              <w:spacing w:after="120"/>
              <w:jc w:val="center"/>
              <w:rPr>
                <w:rFonts w:cs="Times New Roman"/>
                <w:b/>
                <w:i/>
                <w:iCs/>
                <w:color w:val="000000"/>
                <w:kern w:val="0"/>
                <w:szCs w:val="22"/>
              </w:rPr>
            </w:pPr>
            <w:r w:rsidRPr="00DD7DCA">
              <w:rPr>
                <w:rFonts w:cs="Times New Roman"/>
                <w:b/>
                <w:i/>
                <w:iCs/>
                <w:color w:val="000000"/>
                <w:kern w:val="0"/>
                <w:szCs w:val="22"/>
              </w:rPr>
              <w:t>All Total</w:t>
            </w:r>
          </w:p>
        </w:tc>
        <w:tc>
          <w:tcPr>
            <w:tcW w:w="1762" w:type="dxa"/>
            <w:shd w:val="clear" w:color="auto" w:fill="C0C0C0"/>
            <w:vAlign w:val="bottom"/>
          </w:tcPr>
          <w:p w:rsidR="002E048C" w:rsidRPr="00DD7DCA" w:rsidP="00DB1669" w14:paraId="02D2CD3C" w14:textId="478B209D">
            <w:pPr>
              <w:keepLines/>
              <w:spacing w:after="120"/>
              <w:jc w:val="center"/>
              <w:rPr>
                <w:rFonts w:cs="Times New Roman"/>
                <w:b/>
                <w:iCs/>
                <w:color w:val="FF0000"/>
                <w:kern w:val="0"/>
                <w:szCs w:val="22"/>
              </w:rPr>
            </w:pPr>
            <w:r w:rsidRPr="00DD7DCA">
              <w:rPr>
                <w:rFonts w:cs="Times New Roman"/>
                <w:b/>
                <w:iCs/>
                <w:kern w:val="0"/>
                <w:szCs w:val="22"/>
              </w:rPr>
              <w:t>25</w:t>
            </w:r>
            <w:r w:rsidRPr="00DD7DCA" w:rsidR="00F51C8B">
              <w:rPr>
                <w:rFonts w:cs="Times New Roman"/>
                <w:b/>
                <w:iCs/>
                <w:kern w:val="0"/>
                <w:szCs w:val="22"/>
              </w:rPr>
              <w:t>8</w:t>
            </w:r>
            <w:r w:rsidR="00E85CCB">
              <w:rPr>
                <w:rFonts w:cs="Times New Roman"/>
                <w:b/>
                <w:iCs/>
                <w:kern w:val="0"/>
                <w:szCs w:val="22"/>
              </w:rPr>
              <w:t>19</w:t>
            </w:r>
          </w:p>
        </w:tc>
        <w:tc>
          <w:tcPr>
            <w:tcW w:w="1763" w:type="dxa"/>
            <w:shd w:val="clear" w:color="auto" w:fill="C0C0C0"/>
            <w:noWrap/>
            <w:vAlign w:val="bottom"/>
          </w:tcPr>
          <w:p w:rsidR="002E048C" w:rsidRPr="00DD7DCA" w:rsidP="00DB1669" w14:paraId="6C183655" w14:textId="20C65FF2">
            <w:pPr>
              <w:keepLines/>
              <w:spacing w:after="120"/>
              <w:jc w:val="center"/>
              <w:rPr>
                <w:rFonts w:cs="Times New Roman"/>
                <w:b/>
                <w:color w:val="000000"/>
                <w:kern w:val="0"/>
                <w:szCs w:val="22"/>
              </w:rPr>
            </w:pPr>
            <w:r w:rsidRPr="00DD7DCA">
              <w:rPr>
                <w:rFonts w:cs="Times New Roman"/>
                <w:b/>
                <w:color w:val="000000"/>
                <w:kern w:val="0"/>
                <w:szCs w:val="22"/>
              </w:rPr>
              <w:t>2</w:t>
            </w:r>
            <w:r w:rsidRPr="00DD7DCA" w:rsidR="00DD7DCA">
              <w:rPr>
                <w:rFonts w:cs="Times New Roman"/>
                <w:b/>
                <w:color w:val="000000"/>
                <w:kern w:val="0"/>
                <w:szCs w:val="22"/>
              </w:rPr>
              <w:t>281</w:t>
            </w:r>
            <w:r w:rsidR="00E85CCB">
              <w:rPr>
                <w:rFonts w:cs="Times New Roman"/>
                <w:b/>
                <w:color w:val="000000"/>
                <w:kern w:val="0"/>
                <w:szCs w:val="22"/>
              </w:rPr>
              <w:t>0</w:t>
            </w:r>
          </w:p>
        </w:tc>
        <w:tc>
          <w:tcPr>
            <w:tcW w:w="1763" w:type="dxa"/>
            <w:shd w:val="clear" w:color="auto" w:fill="C0C0C0"/>
            <w:vAlign w:val="bottom"/>
          </w:tcPr>
          <w:p w:rsidR="002E048C" w:rsidRPr="00DD7DCA" w:rsidP="00DB1669" w14:paraId="77E95C48" w14:textId="5D9A8A22">
            <w:pPr>
              <w:keepNext/>
              <w:keepLines/>
              <w:spacing w:after="120"/>
              <w:jc w:val="center"/>
              <w:rPr>
                <w:rFonts w:cs="Times New Roman"/>
                <w:b/>
                <w:bCs w:val="0"/>
                <w:color w:val="000000"/>
                <w:kern w:val="0"/>
                <w:szCs w:val="22"/>
              </w:rPr>
            </w:pPr>
            <w:r w:rsidRPr="00DD7DCA">
              <w:rPr>
                <w:rFonts w:cs="Times New Roman"/>
                <w:b/>
                <w:bCs w:val="0"/>
                <w:color w:val="000000"/>
                <w:kern w:val="0"/>
                <w:szCs w:val="22"/>
              </w:rPr>
              <w:t>19</w:t>
            </w:r>
            <w:r w:rsidRPr="00DD7DCA" w:rsidR="00DD7DCA">
              <w:rPr>
                <w:rFonts w:cs="Times New Roman"/>
                <w:b/>
                <w:bCs w:val="0"/>
                <w:color w:val="000000"/>
                <w:kern w:val="0"/>
                <w:szCs w:val="22"/>
              </w:rPr>
              <w:t>7</w:t>
            </w:r>
            <w:r w:rsidR="00E85CCB">
              <w:rPr>
                <w:rFonts w:cs="Times New Roman"/>
                <w:b/>
                <w:bCs w:val="0"/>
                <w:color w:val="000000"/>
                <w:kern w:val="0"/>
                <w:szCs w:val="22"/>
              </w:rPr>
              <w:t>04</w:t>
            </w:r>
          </w:p>
        </w:tc>
        <w:tc>
          <w:tcPr>
            <w:tcW w:w="2213" w:type="dxa"/>
            <w:shd w:val="clear" w:color="auto" w:fill="C0C0C0"/>
            <w:vAlign w:val="bottom"/>
          </w:tcPr>
          <w:p w:rsidR="002E048C" w:rsidRPr="00DD7DCA" w:rsidP="00DB1669" w14:paraId="4E861B3C" w14:textId="77777777">
            <w:pPr>
              <w:keepLines/>
              <w:spacing w:after="120"/>
              <w:jc w:val="center"/>
              <w:rPr>
                <w:rFonts w:cs="Times New Roman"/>
                <w:b/>
                <w:color w:val="FF0000"/>
                <w:kern w:val="0"/>
                <w:szCs w:val="22"/>
              </w:rPr>
            </w:pPr>
            <w:r w:rsidRPr="00DD7DCA">
              <w:rPr>
                <w:rFonts w:cs="Times New Roman"/>
                <w:b/>
                <w:kern w:val="0"/>
                <w:szCs w:val="22"/>
              </w:rPr>
              <w:t>76.</w:t>
            </w:r>
            <w:r w:rsidRPr="00DD7DCA" w:rsidR="00DD7DCA">
              <w:rPr>
                <w:rFonts w:cs="Times New Roman"/>
                <w:b/>
                <w:kern w:val="0"/>
                <w:szCs w:val="22"/>
              </w:rPr>
              <w:t>3</w:t>
            </w:r>
            <w:r w:rsidRPr="00DD7DCA">
              <w:rPr>
                <w:rFonts w:cs="Times New Roman"/>
                <w:b/>
                <w:kern w:val="0"/>
                <w:szCs w:val="22"/>
              </w:rPr>
              <w:t>%</w:t>
            </w:r>
          </w:p>
        </w:tc>
      </w:tr>
    </w:tbl>
    <w:p w:rsidR="00DB2ECD" w:rsidRPr="00B57342" w:rsidP="00DB2ECD" w14:paraId="7E6C4A8E" w14:textId="77777777">
      <w:pPr>
        <w:spacing w:after="120"/>
        <w:rPr>
          <w:rFonts w:cs="Times New Roman"/>
          <w:szCs w:val="22"/>
        </w:rPr>
      </w:pPr>
    </w:p>
    <w:p w:rsidR="00DB2ECD" w:rsidRPr="00085542" w14:paraId="1B752BE4" w14:textId="0CB221D5">
      <w:pPr>
        <w:spacing w:after="120"/>
        <w:rPr>
          <w:rFonts w:cs="Times New Roman"/>
          <w:b/>
        </w:rPr>
      </w:pPr>
      <w:r w:rsidRPr="00FE446B">
        <w:rPr>
          <w:rFonts w:cs="Times New Roman"/>
          <w:b/>
        </w:rPr>
        <w:t>Table 2</w:t>
      </w:r>
      <w:r w:rsidRPr="209B057E">
        <w:rPr>
          <w:rFonts w:cs="Times New Roman"/>
        </w:rPr>
        <w:t xml:space="preserve"> provides an overview of the completeness of the filings submitted to ETRS.  </w:t>
      </w:r>
      <w:r w:rsidR="00747E86">
        <w:rPr>
          <w:rFonts w:cs="Times New Roman"/>
        </w:rPr>
        <w:t xml:space="preserve">Form One asked EAS Participants to report basic identifying information, such as ownership or licensee contact information, EAS designation as identified in their State EAS Plan, and the make, model, and software version of their EAS equipment.  Form Two </w:t>
      </w:r>
      <w:r w:rsidR="00971500">
        <w:rPr>
          <w:rFonts w:cs="Times New Roman"/>
        </w:rPr>
        <w:t xml:space="preserve">asked EAS Participants to report “day of test” results, including </w:t>
      </w:r>
      <w:r w:rsidRPr="005B7CDC" w:rsidR="00971500">
        <w:rPr>
          <w:rFonts w:cs="Times New Roman"/>
        </w:rPr>
        <w:t>whether they had successfully received and retransmitted the test alert</w:t>
      </w:r>
      <w:r w:rsidR="00971500">
        <w:rPr>
          <w:rFonts w:cs="Times New Roman"/>
        </w:rPr>
        <w:t xml:space="preserve">.  Form Three asked EAS Participants to report more detailed test results, such as the first source from which the alert was received, the language in which the alert was received, and details of any issues experienced during the test. </w:t>
      </w:r>
      <w:r w:rsidRPr="005B7CDC" w:rsidR="00971500">
        <w:rPr>
          <w:rFonts w:cs="Times New Roman"/>
        </w:rPr>
        <w:t xml:space="preserve"> </w:t>
      </w:r>
      <w:r w:rsidRPr="209B057E">
        <w:rPr>
          <w:rFonts w:cs="Times New Roman"/>
        </w:rPr>
        <w:t>8</w:t>
      </w:r>
      <w:r w:rsidR="00B05FB5">
        <w:rPr>
          <w:rFonts w:cs="Times New Roman"/>
        </w:rPr>
        <w:t>8</w:t>
      </w:r>
      <w:r w:rsidRPr="209B057E">
        <w:rPr>
          <w:rFonts w:cs="Times New Roman"/>
        </w:rPr>
        <w:t>.</w:t>
      </w:r>
      <w:r w:rsidR="00B05FB5">
        <w:rPr>
          <w:rFonts w:cs="Times New Roman"/>
        </w:rPr>
        <w:t>9</w:t>
      </w:r>
      <w:r w:rsidRPr="209B057E">
        <w:rPr>
          <w:rFonts w:cs="Times New Roman"/>
        </w:rPr>
        <w:t>% of filers completed Forms One, Two, and Three, as required by the Commission’s rules.</w:t>
      </w:r>
      <w:r>
        <w:rPr>
          <w:rStyle w:val="FootnoteReference"/>
        </w:rPr>
        <w:footnoteReference w:id="54"/>
      </w:r>
      <w:r w:rsidRPr="209B057E">
        <w:rPr>
          <w:rFonts w:cs="Times New Roman"/>
        </w:rPr>
        <w:t xml:space="preserve">  </w:t>
      </w:r>
      <w:r w:rsidR="00B05FB5">
        <w:rPr>
          <w:rFonts w:cs="Times New Roman"/>
        </w:rPr>
        <w:t>8.5</w:t>
      </w:r>
      <w:r w:rsidRPr="209B057E">
        <w:rPr>
          <w:rFonts w:cs="Times New Roman"/>
        </w:rPr>
        <w:t xml:space="preserve">% of filers submitted “day of test” results, but failed to submit the detailed test results required by Form Three.  </w:t>
      </w:r>
      <w:r w:rsidR="00B05FB5">
        <w:rPr>
          <w:rFonts w:cs="Times New Roman"/>
        </w:rPr>
        <w:t>2.5</w:t>
      </w:r>
      <w:r w:rsidRPr="209B057E">
        <w:rPr>
          <w:rFonts w:cs="Times New Roman"/>
        </w:rPr>
        <w:t xml:space="preserve">% of filers failed to submit any test results, filing only their identifying information required by Form One.  </w:t>
      </w:r>
      <w:r w:rsidR="00D15B51">
        <w:rPr>
          <w:rFonts w:cs="Times New Roman"/>
        </w:rPr>
        <w:t>IPTV provider</w:t>
      </w:r>
      <w:r w:rsidRPr="209B057E">
        <w:rPr>
          <w:rFonts w:cs="Times New Roman"/>
        </w:rPr>
        <w:t xml:space="preserve"> filers had a high form completion rate of 96.</w:t>
      </w:r>
      <w:r w:rsidR="00B05FB5">
        <w:rPr>
          <w:rFonts w:cs="Times New Roman"/>
        </w:rPr>
        <w:t>3</w:t>
      </w:r>
      <w:r w:rsidRPr="209B057E">
        <w:rPr>
          <w:rFonts w:cs="Times New Roman"/>
        </w:rPr>
        <w:t xml:space="preserve">%, while </w:t>
      </w:r>
      <w:r w:rsidR="00B05FB5">
        <w:rPr>
          <w:rFonts w:cs="Times New Roman"/>
        </w:rPr>
        <w:t xml:space="preserve">radio broadcasters </w:t>
      </w:r>
      <w:r w:rsidRPr="209B057E">
        <w:rPr>
          <w:rFonts w:cs="Times New Roman"/>
        </w:rPr>
        <w:t xml:space="preserve">had a lower form completion rate of </w:t>
      </w:r>
      <w:r w:rsidR="00B05FB5">
        <w:rPr>
          <w:rFonts w:cs="Times New Roman"/>
        </w:rPr>
        <w:t>87.2</w:t>
      </w:r>
      <w:r w:rsidRPr="209B057E">
        <w:rPr>
          <w:rFonts w:cs="Times New Roman"/>
        </w:rPr>
        <w:t>%.</w:t>
      </w:r>
    </w:p>
    <w:p w:rsidR="00DB2ECD" w:rsidRPr="00B57342" w:rsidP="00DB2ECD" w14:paraId="79217881" w14:textId="77777777">
      <w:pPr>
        <w:keepNext/>
        <w:keepLines/>
        <w:spacing w:after="120"/>
        <w:rPr>
          <w:rFonts w:cs="Times New Roman"/>
          <w:b/>
          <w:szCs w:val="22"/>
        </w:rPr>
      </w:pPr>
      <w:r w:rsidRPr="00B57342">
        <w:rPr>
          <w:rFonts w:cs="Times New Roman"/>
          <w:b/>
          <w:szCs w:val="22"/>
        </w:rPr>
        <w:t>Table 2. Overview of Filings Received in ETRS by Form Type</w:t>
      </w:r>
    </w:p>
    <w:tbl>
      <w:tblPr>
        <w:tblW w:w="9352" w:type="dxa"/>
        <w:tblInd w:w="93" w:type="dxa"/>
        <w:tblLayout w:type="fixed"/>
        <w:tblLook w:val="0000"/>
      </w:tblPr>
      <w:tblGrid>
        <w:gridCol w:w="1612"/>
        <w:gridCol w:w="1260"/>
        <w:gridCol w:w="1260"/>
        <w:gridCol w:w="923"/>
        <w:gridCol w:w="1327"/>
        <w:gridCol w:w="833"/>
        <w:gridCol w:w="1237"/>
        <w:gridCol w:w="900"/>
      </w:tblGrid>
      <w:tr w14:paraId="7F823B6D" w14:textId="77777777" w:rsidTr="00DB1669">
        <w:tblPrEx>
          <w:tblW w:w="9352" w:type="dxa"/>
          <w:tblInd w:w="93" w:type="dxa"/>
          <w:tblLayout w:type="fixed"/>
          <w:tblLook w:val="0000"/>
        </w:tblPrEx>
        <w:trPr>
          <w:cantSplit/>
          <w:trHeight w:val="238"/>
        </w:trPr>
        <w:tc>
          <w:tcPr>
            <w:tcW w:w="1612" w:type="dxa"/>
            <w:vMerge w:val="restart"/>
            <w:tcBorders>
              <w:top w:val="single" w:sz="4" w:space="0" w:color="auto"/>
              <w:left w:val="single" w:sz="4" w:space="0" w:color="auto"/>
              <w:right w:val="single" w:sz="4" w:space="0" w:color="auto"/>
            </w:tcBorders>
            <w:shd w:val="clear" w:color="auto" w:fill="C0C0C0"/>
            <w:noWrap/>
            <w:vAlign w:val="bottom"/>
          </w:tcPr>
          <w:p w:rsidR="002E048C" w:rsidRPr="00B57342" w:rsidP="00DB1669" w14:paraId="1418F34A" w14:textId="77777777">
            <w:pPr>
              <w:keepNext/>
              <w:keepLines/>
              <w:spacing w:after="120"/>
              <w:jc w:val="center"/>
              <w:rPr>
                <w:rFonts w:cs="Times New Roman"/>
                <w:b/>
                <w:color w:val="000000"/>
                <w:kern w:val="0"/>
                <w:szCs w:val="22"/>
              </w:rPr>
            </w:pPr>
            <w:r w:rsidRPr="00B57342">
              <w:rPr>
                <w:rFonts w:cs="Times New Roman"/>
                <w:b/>
                <w:color w:val="000000"/>
                <w:kern w:val="0"/>
                <w:szCs w:val="22"/>
              </w:rPr>
              <w:t>EAS Participant Type</w:t>
            </w:r>
          </w:p>
        </w:tc>
        <w:tc>
          <w:tcPr>
            <w:tcW w:w="1260" w:type="dxa"/>
            <w:vMerge w:val="restart"/>
            <w:tcBorders>
              <w:top w:val="single" w:sz="4" w:space="0" w:color="auto"/>
              <w:left w:val="single" w:sz="4" w:space="0" w:color="auto"/>
              <w:right w:val="single" w:sz="4" w:space="0" w:color="auto"/>
            </w:tcBorders>
            <w:shd w:val="clear" w:color="auto" w:fill="C0C0C0"/>
            <w:vAlign w:val="bottom"/>
          </w:tcPr>
          <w:p w:rsidR="002E048C" w:rsidRPr="00B57342" w:rsidP="00DB1669" w14:paraId="1C3A0C44" w14:textId="77777777">
            <w:pPr>
              <w:keepNext/>
              <w:keepLines/>
              <w:spacing w:after="120"/>
              <w:jc w:val="center"/>
              <w:rPr>
                <w:rFonts w:cs="Times New Roman"/>
                <w:b/>
                <w:color w:val="000000"/>
                <w:kern w:val="0"/>
                <w:szCs w:val="22"/>
              </w:rPr>
            </w:pPr>
            <w:r>
              <w:rPr>
                <w:rFonts w:cs="Times New Roman"/>
                <w:b/>
                <w:color w:val="000000"/>
                <w:kern w:val="0"/>
                <w:szCs w:val="22"/>
              </w:rPr>
              <w:t>Unique</w:t>
            </w:r>
            <w:r w:rsidRPr="00B57342">
              <w:rPr>
                <w:rFonts w:cs="Times New Roman"/>
                <w:b/>
                <w:color w:val="000000"/>
                <w:kern w:val="0"/>
                <w:szCs w:val="22"/>
              </w:rPr>
              <w:t xml:space="preserve"> Filings</w:t>
            </w:r>
          </w:p>
        </w:tc>
        <w:tc>
          <w:tcPr>
            <w:tcW w:w="2183" w:type="dxa"/>
            <w:gridSpan w:val="2"/>
            <w:tcBorders>
              <w:top w:val="single" w:sz="4" w:space="0" w:color="auto"/>
              <w:left w:val="nil"/>
              <w:bottom w:val="single" w:sz="4" w:space="0" w:color="auto"/>
              <w:right w:val="single" w:sz="4" w:space="0" w:color="auto"/>
            </w:tcBorders>
            <w:shd w:val="clear" w:color="auto" w:fill="C0C0C0"/>
            <w:noWrap/>
            <w:vAlign w:val="bottom"/>
          </w:tcPr>
          <w:p w:rsidR="002E048C" w:rsidRPr="00B57342" w:rsidP="00DB1669" w14:paraId="79F550E2" w14:textId="77777777">
            <w:pPr>
              <w:keepNext/>
              <w:keepLines/>
              <w:spacing w:after="120"/>
              <w:jc w:val="center"/>
              <w:rPr>
                <w:rFonts w:cs="Times New Roman"/>
                <w:b/>
                <w:color w:val="000000"/>
                <w:kern w:val="0"/>
                <w:szCs w:val="22"/>
              </w:rPr>
            </w:pPr>
            <w:r w:rsidRPr="00B57342">
              <w:rPr>
                <w:rFonts w:cs="Times New Roman"/>
                <w:b/>
                <w:color w:val="000000"/>
                <w:kern w:val="0"/>
                <w:szCs w:val="22"/>
              </w:rPr>
              <w:t>Form One Filed Only</w:t>
            </w:r>
          </w:p>
        </w:tc>
        <w:tc>
          <w:tcPr>
            <w:tcW w:w="2160" w:type="dxa"/>
            <w:gridSpan w:val="2"/>
            <w:tcBorders>
              <w:top w:val="single" w:sz="4" w:space="0" w:color="auto"/>
              <w:left w:val="nil"/>
              <w:bottom w:val="single" w:sz="4" w:space="0" w:color="auto"/>
              <w:right w:val="single" w:sz="4" w:space="0" w:color="auto"/>
            </w:tcBorders>
            <w:shd w:val="clear" w:color="auto" w:fill="C0C0C0"/>
            <w:noWrap/>
            <w:vAlign w:val="bottom"/>
          </w:tcPr>
          <w:p w:rsidR="002E048C" w:rsidRPr="00B57342" w:rsidP="00DB1669" w14:paraId="532CF98B" w14:textId="77777777">
            <w:pPr>
              <w:keepNext/>
              <w:keepLines/>
              <w:jc w:val="center"/>
              <w:rPr>
                <w:rFonts w:cs="Times New Roman"/>
                <w:b/>
                <w:color w:val="000000"/>
                <w:kern w:val="0"/>
                <w:szCs w:val="22"/>
              </w:rPr>
            </w:pPr>
            <w:r w:rsidRPr="00B57342">
              <w:rPr>
                <w:rFonts w:cs="Times New Roman"/>
                <w:b/>
                <w:color w:val="000000"/>
                <w:kern w:val="0"/>
                <w:szCs w:val="22"/>
              </w:rPr>
              <w:t xml:space="preserve">Forms One and </w:t>
            </w:r>
          </w:p>
          <w:p w:rsidR="002E048C" w:rsidRPr="00B57342" w:rsidP="00DB1669" w14:paraId="7F6E24AE" w14:textId="77777777">
            <w:pPr>
              <w:keepNext/>
              <w:keepLines/>
              <w:spacing w:after="120"/>
              <w:jc w:val="center"/>
              <w:rPr>
                <w:rFonts w:cs="Times New Roman"/>
                <w:b/>
                <w:color w:val="000000"/>
                <w:kern w:val="0"/>
                <w:szCs w:val="22"/>
              </w:rPr>
            </w:pPr>
            <w:r w:rsidRPr="00B57342">
              <w:rPr>
                <w:rFonts w:cs="Times New Roman"/>
                <w:b/>
                <w:color w:val="000000"/>
                <w:kern w:val="0"/>
                <w:szCs w:val="22"/>
              </w:rPr>
              <w:t>Two filed Only</w:t>
            </w:r>
          </w:p>
        </w:tc>
        <w:tc>
          <w:tcPr>
            <w:tcW w:w="2137" w:type="dxa"/>
            <w:gridSpan w:val="2"/>
            <w:tcBorders>
              <w:top w:val="single" w:sz="4" w:space="0" w:color="auto"/>
              <w:left w:val="nil"/>
              <w:bottom w:val="single" w:sz="4" w:space="0" w:color="auto"/>
              <w:right w:val="single" w:sz="4" w:space="0" w:color="auto"/>
            </w:tcBorders>
            <w:shd w:val="clear" w:color="auto" w:fill="C0C0C0"/>
            <w:vAlign w:val="bottom"/>
          </w:tcPr>
          <w:p w:rsidR="002E048C" w:rsidRPr="00B57342" w:rsidP="00DB1669" w14:paraId="3F822996" w14:textId="77777777">
            <w:pPr>
              <w:keepNext/>
              <w:keepLines/>
              <w:spacing w:after="120"/>
              <w:jc w:val="center"/>
              <w:rPr>
                <w:rFonts w:cs="Times New Roman"/>
                <w:b/>
                <w:color w:val="000000"/>
                <w:kern w:val="0"/>
                <w:szCs w:val="22"/>
              </w:rPr>
            </w:pPr>
            <w:r w:rsidRPr="00B57342">
              <w:rPr>
                <w:rFonts w:cs="Times New Roman"/>
                <w:b/>
                <w:color w:val="000000"/>
                <w:kern w:val="0"/>
                <w:szCs w:val="22"/>
              </w:rPr>
              <w:t>Forms One, Two, and Three Filed</w:t>
            </w:r>
          </w:p>
        </w:tc>
      </w:tr>
      <w:tr w14:paraId="58F97D74" w14:textId="77777777" w:rsidTr="00DB1669">
        <w:tblPrEx>
          <w:tblW w:w="9352" w:type="dxa"/>
          <w:tblInd w:w="93" w:type="dxa"/>
          <w:tblLayout w:type="fixed"/>
          <w:tblLook w:val="0000"/>
        </w:tblPrEx>
        <w:trPr>
          <w:cantSplit/>
          <w:trHeight w:val="253"/>
        </w:trPr>
        <w:tc>
          <w:tcPr>
            <w:tcW w:w="1612" w:type="dxa"/>
            <w:vMerge/>
            <w:tcBorders>
              <w:left w:val="single" w:sz="4" w:space="0" w:color="auto"/>
              <w:bottom w:val="single" w:sz="4" w:space="0" w:color="auto"/>
              <w:right w:val="single" w:sz="4" w:space="0" w:color="auto"/>
            </w:tcBorders>
            <w:shd w:val="clear" w:color="000000" w:fill="C0C0C0"/>
            <w:noWrap/>
            <w:vAlign w:val="bottom"/>
          </w:tcPr>
          <w:p w:rsidR="002E048C" w:rsidRPr="00B57342" w:rsidP="00DB1669" w14:paraId="422EBFEE" w14:textId="77777777">
            <w:pPr>
              <w:keepNext/>
              <w:keepLines/>
              <w:spacing w:after="120"/>
              <w:jc w:val="center"/>
              <w:rPr>
                <w:rFonts w:cs="Times New Roman"/>
                <w:color w:val="000000"/>
                <w:kern w:val="0"/>
                <w:szCs w:val="22"/>
              </w:rPr>
            </w:pPr>
          </w:p>
        </w:tc>
        <w:tc>
          <w:tcPr>
            <w:tcW w:w="1260" w:type="dxa"/>
            <w:vMerge/>
            <w:tcBorders>
              <w:left w:val="single" w:sz="4" w:space="0" w:color="auto"/>
              <w:bottom w:val="single" w:sz="4" w:space="0" w:color="auto"/>
              <w:right w:val="single" w:sz="4" w:space="0" w:color="auto"/>
            </w:tcBorders>
            <w:shd w:val="clear" w:color="000000" w:fill="C0C0C0"/>
            <w:vAlign w:val="bottom"/>
          </w:tcPr>
          <w:p w:rsidR="002E048C" w:rsidRPr="00B57342" w:rsidP="00DB1669" w14:paraId="1685E6B4" w14:textId="77777777">
            <w:pPr>
              <w:keepNext/>
              <w:keepLines/>
              <w:spacing w:after="120"/>
              <w:jc w:val="center"/>
              <w:rPr>
                <w:rFonts w:cs="Times New Roman"/>
                <w:color w:val="000000"/>
                <w:kern w:val="0"/>
                <w:szCs w:val="22"/>
              </w:rPr>
            </w:pPr>
          </w:p>
        </w:tc>
        <w:tc>
          <w:tcPr>
            <w:tcW w:w="1260" w:type="dxa"/>
            <w:tcBorders>
              <w:top w:val="nil"/>
              <w:left w:val="nil"/>
              <w:bottom w:val="single" w:sz="4" w:space="0" w:color="auto"/>
              <w:right w:val="single" w:sz="4" w:space="0" w:color="auto"/>
            </w:tcBorders>
            <w:shd w:val="clear" w:color="000000" w:fill="C0C0C0"/>
            <w:noWrap/>
            <w:vAlign w:val="bottom"/>
          </w:tcPr>
          <w:p w:rsidR="002E048C" w:rsidRPr="00B57342" w:rsidP="00DB1669" w14:paraId="29F047AE" w14:textId="77777777">
            <w:pPr>
              <w:keepNext/>
              <w:keepLines/>
              <w:spacing w:after="120"/>
              <w:jc w:val="center"/>
              <w:rPr>
                <w:rFonts w:cs="Times New Roman"/>
                <w:b/>
                <w:color w:val="000000"/>
                <w:kern w:val="0"/>
                <w:szCs w:val="22"/>
              </w:rPr>
            </w:pPr>
            <w:r>
              <w:rPr>
                <w:rFonts w:cs="Times New Roman"/>
                <w:b/>
                <w:color w:val="000000"/>
                <w:kern w:val="0"/>
                <w:szCs w:val="22"/>
              </w:rPr>
              <w:t>Unique</w:t>
            </w:r>
            <w:r w:rsidRPr="00B57342">
              <w:rPr>
                <w:rFonts w:cs="Times New Roman"/>
                <w:b/>
                <w:color w:val="000000"/>
                <w:kern w:val="0"/>
                <w:szCs w:val="22"/>
              </w:rPr>
              <w:t xml:space="preserve"> Filings</w:t>
            </w:r>
          </w:p>
        </w:tc>
        <w:tc>
          <w:tcPr>
            <w:tcW w:w="923" w:type="dxa"/>
            <w:tcBorders>
              <w:top w:val="nil"/>
              <w:left w:val="nil"/>
              <w:bottom w:val="single" w:sz="4" w:space="0" w:color="auto"/>
              <w:right w:val="single" w:sz="4" w:space="0" w:color="auto"/>
            </w:tcBorders>
            <w:shd w:val="clear" w:color="000000" w:fill="C0C0C0"/>
            <w:vAlign w:val="bottom"/>
          </w:tcPr>
          <w:p w:rsidR="002E048C" w:rsidRPr="00B57342" w:rsidP="00DB1669" w14:paraId="01FAB236" w14:textId="77777777">
            <w:pPr>
              <w:keepNext/>
              <w:keepLines/>
              <w:spacing w:after="120"/>
              <w:jc w:val="center"/>
              <w:rPr>
                <w:rFonts w:cs="Times New Roman"/>
                <w:b/>
                <w:color w:val="000000"/>
                <w:kern w:val="0"/>
                <w:szCs w:val="22"/>
              </w:rPr>
            </w:pPr>
            <w:r w:rsidRPr="00B57342">
              <w:rPr>
                <w:rFonts w:cs="Times New Roman"/>
                <w:b/>
                <w:color w:val="000000"/>
                <w:kern w:val="0"/>
                <w:szCs w:val="22"/>
              </w:rPr>
              <w:t>%</w:t>
            </w:r>
          </w:p>
        </w:tc>
        <w:tc>
          <w:tcPr>
            <w:tcW w:w="1327" w:type="dxa"/>
            <w:tcBorders>
              <w:top w:val="nil"/>
              <w:left w:val="nil"/>
              <w:bottom w:val="single" w:sz="4" w:space="0" w:color="auto"/>
              <w:right w:val="single" w:sz="4" w:space="0" w:color="auto"/>
            </w:tcBorders>
            <w:shd w:val="clear" w:color="000000" w:fill="C0C0C0"/>
            <w:noWrap/>
            <w:vAlign w:val="bottom"/>
          </w:tcPr>
          <w:p w:rsidR="002E048C" w:rsidRPr="00B57342" w:rsidP="00DB1669" w14:paraId="0993667C" w14:textId="77777777">
            <w:pPr>
              <w:keepNext/>
              <w:keepLines/>
              <w:spacing w:after="120"/>
              <w:jc w:val="center"/>
              <w:rPr>
                <w:rFonts w:cs="Times New Roman"/>
                <w:b/>
                <w:color w:val="000000"/>
                <w:kern w:val="0"/>
                <w:szCs w:val="22"/>
              </w:rPr>
            </w:pPr>
            <w:r>
              <w:rPr>
                <w:rFonts w:cs="Times New Roman"/>
                <w:b/>
                <w:color w:val="000000"/>
                <w:kern w:val="0"/>
                <w:szCs w:val="22"/>
              </w:rPr>
              <w:t>Unique</w:t>
            </w:r>
            <w:r w:rsidRPr="00B57342">
              <w:rPr>
                <w:rFonts w:cs="Times New Roman"/>
                <w:b/>
                <w:color w:val="000000"/>
                <w:kern w:val="0"/>
                <w:szCs w:val="22"/>
              </w:rPr>
              <w:t xml:space="preserve"> Filings</w:t>
            </w:r>
          </w:p>
        </w:tc>
        <w:tc>
          <w:tcPr>
            <w:tcW w:w="833" w:type="dxa"/>
            <w:tcBorders>
              <w:top w:val="nil"/>
              <w:left w:val="nil"/>
              <w:bottom w:val="single" w:sz="4" w:space="0" w:color="auto"/>
              <w:right w:val="single" w:sz="4" w:space="0" w:color="auto"/>
            </w:tcBorders>
            <w:shd w:val="clear" w:color="000000" w:fill="C0C0C0"/>
            <w:vAlign w:val="bottom"/>
          </w:tcPr>
          <w:p w:rsidR="002E048C" w:rsidRPr="00B57342" w:rsidP="00DB1669" w14:paraId="76CF649C" w14:textId="77777777">
            <w:pPr>
              <w:keepNext/>
              <w:keepLines/>
              <w:spacing w:after="120"/>
              <w:jc w:val="center"/>
              <w:rPr>
                <w:rFonts w:cs="Times New Roman"/>
                <w:b/>
                <w:color w:val="000000"/>
                <w:kern w:val="0"/>
                <w:szCs w:val="22"/>
              </w:rPr>
            </w:pPr>
            <w:r w:rsidRPr="00B57342">
              <w:rPr>
                <w:rFonts w:cs="Times New Roman"/>
                <w:b/>
                <w:color w:val="000000"/>
                <w:kern w:val="0"/>
                <w:szCs w:val="22"/>
              </w:rPr>
              <w:t>%</w:t>
            </w:r>
          </w:p>
        </w:tc>
        <w:tc>
          <w:tcPr>
            <w:tcW w:w="1237" w:type="dxa"/>
            <w:tcBorders>
              <w:top w:val="nil"/>
              <w:left w:val="nil"/>
              <w:bottom w:val="single" w:sz="4" w:space="0" w:color="auto"/>
              <w:right w:val="single" w:sz="4" w:space="0" w:color="auto"/>
            </w:tcBorders>
            <w:shd w:val="clear" w:color="000000" w:fill="C0C0C0"/>
            <w:vAlign w:val="bottom"/>
          </w:tcPr>
          <w:p w:rsidR="002E048C" w:rsidRPr="00B57342" w:rsidP="00DB1669" w14:paraId="0D53A309" w14:textId="77777777">
            <w:pPr>
              <w:keepNext/>
              <w:keepLines/>
              <w:spacing w:after="120"/>
              <w:jc w:val="center"/>
              <w:rPr>
                <w:rFonts w:cs="Times New Roman"/>
                <w:b/>
                <w:color w:val="000000"/>
                <w:kern w:val="0"/>
                <w:szCs w:val="22"/>
              </w:rPr>
            </w:pPr>
            <w:r>
              <w:rPr>
                <w:rFonts w:cs="Times New Roman"/>
                <w:b/>
                <w:color w:val="000000"/>
                <w:kern w:val="0"/>
                <w:szCs w:val="22"/>
              </w:rPr>
              <w:t>Unique</w:t>
            </w:r>
            <w:r w:rsidRPr="00B57342">
              <w:rPr>
                <w:rFonts w:cs="Times New Roman"/>
                <w:b/>
                <w:color w:val="000000"/>
                <w:kern w:val="0"/>
                <w:szCs w:val="22"/>
              </w:rPr>
              <w:t xml:space="preserve"> Filings</w:t>
            </w:r>
          </w:p>
        </w:tc>
        <w:tc>
          <w:tcPr>
            <w:tcW w:w="900" w:type="dxa"/>
            <w:tcBorders>
              <w:top w:val="nil"/>
              <w:left w:val="nil"/>
              <w:bottom w:val="single" w:sz="4" w:space="0" w:color="auto"/>
              <w:right w:val="single" w:sz="4" w:space="0" w:color="auto"/>
            </w:tcBorders>
            <w:shd w:val="clear" w:color="000000" w:fill="C0C0C0"/>
            <w:vAlign w:val="bottom"/>
          </w:tcPr>
          <w:p w:rsidR="002E048C" w:rsidRPr="00B57342" w:rsidP="00DB1669" w14:paraId="5CA249E3" w14:textId="77777777">
            <w:pPr>
              <w:keepNext/>
              <w:keepLines/>
              <w:spacing w:after="120"/>
              <w:jc w:val="center"/>
              <w:rPr>
                <w:rFonts w:cs="Times New Roman"/>
                <w:b/>
                <w:color w:val="000000"/>
                <w:kern w:val="0"/>
                <w:szCs w:val="22"/>
              </w:rPr>
            </w:pPr>
            <w:r w:rsidRPr="00B57342">
              <w:rPr>
                <w:rFonts w:cs="Times New Roman"/>
                <w:b/>
                <w:color w:val="000000"/>
                <w:kern w:val="0"/>
                <w:szCs w:val="22"/>
              </w:rPr>
              <w:t>%</w:t>
            </w:r>
          </w:p>
        </w:tc>
      </w:tr>
      <w:tr w14:paraId="288363FE" w14:textId="77777777" w:rsidTr="00DB1669">
        <w:tblPrEx>
          <w:tblW w:w="9352" w:type="dxa"/>
          <w:tblInd w:w="93" w:type="dxa"/>
          <w:tblLayout w:type="fixed"/>
          <w:tblLook w:val="0000"/>
        </w:tblPrEx>
        <w:trPr>
          <w:cantSplit/>
          <w:trHeight w:val="253"/>
        </w:trPr>
        <w:tc>
          <w:tcPr>
            <w:tcW w:w="1612" w:type="dxa"/>
            <w:tcBorders>
              <w:top w:val="nil"/>
              <w:left w:val="single" w:sz="4" w:space="0" w:color="auto"/>
              <w:bottom w:val="single" w:sz="4" w:space="0" w:color="auto"/>
              <w:right w:val="single" w:sz="4" w:space="0" w:color="auto"/>
            </w:tcBorders>
            <w:vAlign w:val="bottom"/>
          </w:tcPr>
          <w:p w:rsidR="00074248" w:rsidRPr="00074248" w:rsidP="00074248" w14:paraId="764EABDF" w14:textId="77777777">
            <w:pPr>
              <w:keepNext/>
              <w:keepLines/>
              <w:spacing w:after="120"/>
              <w:jc w:val="right"/>
              <w:rPr>
                <w:rFonts w:cs="Times New Roman"/>
                <w:bCs w:val="0"/>
                <w:color w:val="000000"/>
                <w:kern w:val="0"/>
                <w:szCs w:val="22"/>
              </w:rPr>
            </w:pPr>
            <w:r w:rsidRPr="00074248">
              <w:rPr>
                <w:rFonts w:cs="Times New Roman"/>
                <w:color w:val="000000"/>
                <w:kern w:val="0"/>
                <w:szCs w:val="22"/>
              </w:rPr>
              <w:t>Radio Broadcasters</w:t>
            </w:r>
          </w:p>
        </w:tc>
        <w:tc>
          <w:tcPr>
            <w:tcW w:w="1260" w:type="dxa"/>
            <w:tcBorders>
              <w:top w:val="nil"/>
              <w:left w:val="single" w:sz="4" w:space="0" w:color="auto"/>
              <w:bottom w:val="single" w:sz="4" w:space="0" w:color="auto"/>
              <w:right w:val="single" w:sz="4" w:space="0" w:color="auto"/>
            </w:tcBorders>
            <w:vAlign w:val="bottom"/>
          </w:tcPr>
          <w:p w:rsidR="00074248" w:rsidRPr="00074248" w:rsidP="00074248" w14:paraId="432476F5"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13908</w:t>
            </w:r>
          </w:p>
        </w:tc>
        <w:tc>
          <w:tcPr>
            <w:tcW w:w="1260" w:type="dxa"/>
            <w:tcBorders>
              <w:top w:val="nil"/>
              <w:left w:val="nil"/>
              <w:bottom w:val="single" w:sz="4" w:space="0" w:color="auto"/>
              <w:right w:val="single" w:sz="4" w:space="0" w:color="auto"/>
            </w:tcBorders>
            <w:vAlign w:val="bottom"/>
          </w:tcPr>
          <w:p w:rsidR="00074248" w:rsidRPr="00074248" w:rsidP="00074248" w14:paraId="68F47309"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443</w:t>
            </w:r>
          </w:p>
        </w:tc>
        <w:tc>
          <w:tcPr>
            <w:tcW w:w="923" w:type="dxa"/>
            <w:tcBorders>
              <w:top w:val="nil"/>
              <w:left w:val="nil"/>
              <w:bottom w:val="single" w:sz="4" w:space="0" w:color="auto"/>
              <w:right w:val="single" w:sz="4" w:space="0" w:color="auto"/>
            </w:tcBorders>
            <w:vAlign w:val="bottom"/>
          </w:tcPr>
          <w:p w:rsidR="00074248" w:rsidRPr="00074248" w:rsidP="00074248" w14:paraId="04EE1EE7" w14:textId="77777777">
            <w:pPr>
              <w:keepNext/>
              <w:keepLines/>
              <w:spacing w:after="120"/>
              <w:jc w:val="center"/>
              <w:rPr>
                <w:rFonts w:cs="Times New Roman"/>
                <w:bCs w:val="0"/>
                <w:kern w:val="0"/>
                <w:szCs w:val="22"/>
              </w:rPr>
            </w:pPr>
            <w:r w:rsidRPr="00074248">
              <w:rPr>
                <w:rFonts w:cs="Times New Roman"/>
                <w:bCs w:val="0"/>
                <w:kern w:val="0"/>
                <w:szCs w:val="22"/>
              </w:rPr>
              <w:t>3.2%</w:t>
            </w:r>
          </w:p>
        </w:tc>
        <w:tc>
          <w:tcPr>
            <w:tcW w:w="1327" w:type="dxa"/>
            <w:tcBorders>
              <w:top w:val="nil"/>
              <w:left w:val="nil"/>
              <w:bottom w:val="single" w:sz="4" w:space="0" w:color="auto"/>
              <w:right w:val="single" w:sz="4" w:space="0" w:color="auto"/>
            </w:tcBorders>
            <w:vAlign w:val="bottom"/>
          </w:tcPr>
          <w:p w:rsidR="00074248" w:rsidRPr="00074248" w:rsidP="00074248" w14:paraId="3E243658"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1339</w:t>
            </w:r>
          </w:p>
        </w:tc>
        <w:tc>
          <w:tcPr>
            <w:tcW w:w="833" w:type="dxa"/>
            <w:tcBorders>
              <w:top w:val="nil"/>
              <w:left w:val="nil"/>
              <w:bottom w:val="single" w:sz="4" w:space="0" w:color="auto"/>
              <w:right w:val="single" w:sz="4" w:space="0" w:color="auto"/>
            </w:tcBorders>
            <w:vAlign w:val="bottom"/>
          </w:tcPr>
          <w:p w:rsidR="00074248" w:rsidRPr="00074248" w:rsidP="00074248" w14:paraId="0E45B12D" w14:textId="77777777">
            <w:pPr>
              <w:keepNext/>
              <w:keepLines/>
              <w:spacing w:after="120"/>
              <w:jc w:val="center"/>
              <w:rPr>
                <w:rFonts w:cs="Times New Roman"/>
                <w:bCs w:val="0"/>
                <w:kern w:val="0"/>
                <w:szCs w:val="22"/>
              </w:rPr>
            </w:pPr>
            <w:r w:rsidRPr="00074248">
              <w:rPr>
                <w:rFonts w:cs="Times New Roman"/>
                <w:bCs w:val="0"/>
                <w:kern w:val="0"/>
                <w:szCs w:val="22"/>
              </w:rPr>
              <w:t>9.6%</w:t>
            </w:r>
          </w:p>
        </w:tc>
        <w:tc>
          <w:tcPr>
            <w:tcW w:w="1237" w:type="dxa"/>
            <w:tcBorders>
              <w:top w:val="nil"/>
              <w:left w:val="nil"/>
              <w:bottom w:val="single" w:sz="4" w:space="0" w:color="auto"/>
              <w:right w:val="single" w:sz="4" w:space="0" w:color="auto"/>
            </w:tcBorders>
            <w:vAlign w:val="bottom"/>
          </w:tcPr>
          <w:p w:rsidR="00074248" w:rsidRPr="00074248" w:rsidP="00074248" w14:paraId="22AAD1B5"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12126</w:t>
            </w:r>
          </w:p>
        </w:tc>
        <w:tc>
          <w:tcPr>
            <w:tcW w:w="900" w:type="dxa"/>
            <w:tcBorders>
              <w:top w:val="nil"/>
              <w:left w:val="nil"/>
              <w:bottom w:val="single" w:sz="4" w:space="0" w:color="auto"/>
              <w:right w:val="single" w:sz="4" w:space="0" w:color="auto"/>
            </w:tcBorders>
            <w:vAlign w:val="bottom"/>
          </w:tcPr>
          <w:p w:rsidR="00074248" w:rsidRPr="00074248" w:rsidP="00074248" w14:paraId="0E3BD5BD" w14:textId="77777777">
            <w:pPr>
              <w:keepNext/>
              <w:keepLines/>
              <w:spacing w:after="120"/>
              <w:jc w:val="center"/>
              <w:rPr>
                <w:rFonts w:cs="Times New Roman"/>
                <w:bCs w:val="0"/>
                <w:color w:val="FF0000"/>
                <w:kern w:val="0"/>
                <w:szCs w:val="22"/>
              </w:rPr>
            </w:pPr>
            <w:r w:rsidRPr="00074248">
              <w:rPr>
                <w:rFonts w:cs="Times New Roman"/>
                <w:bCs w:val="0"/>
                <w:kern w:val="0"/>
                <w:szCs w:val="22"/>
              </w:rPr>
              <w:t>87.2%</w:t>
            </w:r>
          </w:p>
        </w:tc>
      </w:tr>
      <w:tr w14:paraId="1B7C56B1" w14:textId="77777777" w:rsidTr="00DB1669">
        <w:tblPrEx>
          <w:tblW w:w="9352" w:type="dxa"/>
          <w:tblInd w:w="93" w:type="dxa"/>
          <w:tblLayout w:type="fixed"/>
          <w:tblLook w:val="0000"/>
        </w:tblPrEx>
        <w:trPr>
          <w:cantSplit/>
          <w:trHeight w:val="253"/>
        </w:trPr>
        <w:tc>
          <w:tcPr>
            <w:tcW w:w="1612" w:type="dxa"/>
            <w:tcBorders>
              <w:top w:val="nil"/>
              <w:left w:val="single" w:sz="4" w:space="0" w:color="auto"/>
              <w:bottom w:val="single" w:sz="4" w:space="0" w:color="auto"/>
              <w:right w:val="single" w:sz="4" w:space="0" w:color="auto"/>
            </w:tcBorders>
            <w:shd w:val="clear" w:color="auto" w:fill="FFFFFF"/>
            <w:vAlign w:val="bottom"/>
          </w:tcPr>
          <w:p w:rsidR="00074248" w:rsidRPr="00074248" w:rsidP="00074248" w14:paraId="539FC0D1" w14:textId="77777777">
            <w:pPr>
              <w:keepNext/>
              <w:keepLines/>
              <w:spacing w:after="120"/>
              <w:jc w:val="right"/>
              <w:rPr>
                <w:rFonts w:cs="Times New Roman"/>
                <w:bCs w:val="0"/>
                <w:color w:val="000000"/>
                <w:kern w:val="0"/>
                <w:szCs w:val="22"/>
              </w:rPr>
            </w:pPr>
            <w:r w:rsidRPr="00074248">
              <w:rPr>
                <w:rFonts w:cs="Times New Roman"/>
                <w:color w:val="000000"/>
                <w:kern w:val="0"/>
                <w:szCs w:val="22"/>
              </w:rPr>
              <w:t>Television Broadcasters</w:t>
            </w:r>
          </w:p>
        </w:tc>
        <w:tc>
          <w:tcPr>
            <w:tcW w:w="1260" w:type="dxa"/>
            <w:tcBorders>
              <w:top w:val="nil"/>
              <w:left w:val="single" w:sz="4" w:space="0" w:color="auto"/>
              <w:bottom w:val="single" w:sz="4" w:space="0" w:color="auto"/>
              <w:right w:val="single" w:sz="4" w:space="0" w:color="auto"/>
            </w:tcBorders>
            <w:shd w:val="clear" w:color="auto" w:fill="FFFFFF"/>
            <w:vAlign w:val="bottom"/>
          </w:tcPr>
          <w:p w:rsidR="00074248" w:rsidRPr="00074248" w:rsidP="00074248" w14:paraId="32B4FEF3"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2658</w:t>
            </w:r>
          </w:p>
        </w:tc>
        <w:tc>
          <w:tcPr>
            <w:tcW w:w="1260" w:type="dxa"/>
            <w:tcBorders>
              <w:top w:val="nil"/>
              <w:left w:val="nil"/>
              <w:bottom w:val="single" w:sz="4" w:space="0" w:color="auto"/>
              <w:right w:val="single" w:sz="4" w:space="0" w:color="auto"/>
            </w:tcBorders>
            <w:shd w:val="clear" w:color="auto" w:fill="FFFFFF"/>
            <w:vAlign w:val="bottom"/>
          </w:tcPr>
          <w:p w:rsidR="00074248" w:rsidRPr="00074248" w:rsidP="00074248" w14:paraId="64A56EC4"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36</w:t>
            </w:r>
          </w:p>
        </w:tc>
        <w:tc>
          <w:tcPr>
            <w:tcW w:w="923" w:type="dxa"/>
            <w:tcBorders>
              <w:top w:val="nil"/>
              <w:left w:val="nil"/>
              <w:bottom w:val="single" w:sz="4" w:space="0" w:color="auto"/>
              <w:right w:val="single" w:sz="4" w:space="0" w:color="auto"/>
            </w:tcBorders>
            <w:shd w:val="clear" w:color="auto" w:fill="FFFFFF"/>
            <w:vAlign w:val="bottom"/>
          </w:tcPr>
          <w:p w:rsidR="00074248" w:rsidRPr="00074248" w:rsidP="00074248" w14:paraId="399741C6" w14:textId="77777777">
            <w:pPr>
              <w:keepNext/>
              <w:keepLines/>
              <w:spacing w:after="120"/>
              <w:jc w:val="center"/>
              <w:rPr>
                <w:rFonts w:cs="Times New Roman"/>
                <w:bCs w:val="0"/>
                <w:kern w:val="0"/>
                <w:szCs w:val="22"/>
              </w:rPr>
            </w:pPr>
            <w:r w:rsidRPr="00074248">
              <w:rPr>
                <w:rFonts w:cs="Times New Roman"/>
                <w:bCs w:val="0"/>
                <w:kern w:val="0"/>
                <w:szCs w:val="22"/>
              </w:rPr>
              <w:t>1.4%</w:t>
            </w:r>
          </w:p>
        </w:tc>
        <w:tc>
          <w:tcPr>
            <w:tcW w:w="1327" w:type="dxa"/>
            <w:tcBorders>
              <w:top w:val="nil"/>
              <w:left w:val="nil"/>
              <w:bottom w:val="single" w:sz="4" w:space="0" w:color="auto"/>
              <w:right w:val="single" w:sz="4" w:space="0" w:color="auto"/>
            </w:tcBorders>
            <w:shd w:val="clear" w:color="auto" w:fill="FFFFFF"/>
            <w:vAlign w:val="bottom"/>
          </w:tcPr>
          <w:p w:rsidR="00074248" w:rsidRPr="00074248" w:rsidP="00074248" w14:paraId="7AC32A55"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204</w:t>
            </w:r>
          </w:p>
        </w:tc>
        <w:tc>
          <w:tcPr>
            <w:tcW w:w="833" w:type="dxa"/>
            <w:tcBorders>
              <w:top w:val="nil"/>
              <w:left w:val="nil"/>
              <w:bottom w:val="single" w:sz="4" w:space="0" w:color="auto"/>
              <w:right w:val="single" w:sz="4" w:space="0" w:color="auto"/>
            </w:tcBorders>
            <w:shd w:val="clear" w:color="auto" w:fill="FFFFFF"/>
            <w:vAlign w:val="bottom"/>
          </w:tcPr>
          <w:p w:rsidR="00074248" w:rsidRPr="00074248" w:rsidP="00074248" w14:paraId="2C3C042E" w14:textId="77777777">
            <w:pPr>
              <w:keepNext/>
              <w:keepLines/>
              <w:spacing w:after="120"/>
              <w:jc w:val="center"/>
              <w:rPr>
                <w:rFonts w:cs="Times New Roman"/>
                <w:bCs w:val="0"/>
                <w:kern w:val="0"/>
                <w:szCs w:val="22"/>
              </w:rPr>
            </w:pPr>
            <w:r w:rsidRPr="00074248">
              <w:rPr>
                <w:rFonts w:cs="Times New Roman"/>
                <w:bCs w:val="0"/>
                <w:kern w:val="0"/>
                <w:szCs w:val="22"/>
              </w:rPr>
              <w:t>7.7%</w:t>
            </w:r>
          </w:p>
        </w:tc>
        <w:tc>
          <w:tcPr>
            <w:tcW w:w="1237" w:type="dxa"/>
            <w:tcBorders>
              <w:top w:val="nil"/>
              <w:left w:val="nil"/>
              <w:bottom w:val="single" w:sz="4" w:space="0" w:color="auto"/>
              <w:right w:val="single" w:sz="4" w:space="0" w:color="auto"/>
            </w:tcBorders>
            <w:shd w:val="clear" w:color="auto" w:fill="FFFFFF"/>
            <w:vAlign w:val="bottom"/>
          </w:tcPr>
          <w:p w:rsidR="00074248" w:rsidRPr="00074248" w:rsidP="00074248" w14:paraId="15791196"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2418</w:t>
            </w:r>
          </w:p>
        </w:tc>
        <w:tc>
          <w:tcPr>
            <w:tcW w:w="900" w:type="dxa"/>
            <w:tcBorders>
              <w:top w:val="nil"/>
              <w:left w:val="nil"/>
              <w:bottom w:val="single" w:sz="4" w:space="0" w:color="auto"/>
              <w:right w:val="single" w:sz="4" w:space="0" w:color="auto"/>
            </w:tcBorders>
            <w:shd w:val="clear" w:color="auto" w:fill="FFFFFF"/>
            <w:vAlign w:val="bottom"/>
          </w:tcPr>
          <w:p w:rsidR="00074248" w:rsidRPr="00074248" w:rsidP="00074248" w14:paraId="60A455CC" w14:textId="77777777">
            <w:pPr>
              <w:keepNext/>
              <w:keepLines/>
              <w:spacing w:after="120"/>
              <w:jc w:val="center"/>
              <w:rPr>
                <w:rFonts w:cs="Times New Roman"/>
                <w:bCs w:val="0"/>
                <w:kern w:val="0"/>
                <w:szCs w:val="22"/>
              </w:rPr>
            </w:pPr>
            <w:r w:rsidRPr="00074248">
              <w:rPr>
                <w:rFonts w:cs="Times New Roman"/>
                <w:bCs w:val="0"/>
                <w:kern w:val="0"/>
                <w:szCs w:val="22"/>
              </w:rPr>
              <w:t>91.0%</w:t>
            </w:r>
          </w:p>
        </w:tc>
      </w:tr>
      <w:tr w14:paraId="4372BC5F" w14:textId="77777777" w:rsidTr="00E85CCB">
        <w:tblPrEx>
          <w:tblW w:w="9352" w:type="dxa"/>
          <w:tblInd w:w="93" w:type="dxa"/>
          <w:tblLayout w:type="fixed"/>
          <w:tblLook w:val="0000"/>
        </w:tblPrEx>
        <w:trPr>
          <w:cantSplit/>
          <w:trHeight w:val="260"/>
        </w:trPr>
        <w:tc>
          <w:tcPr>
            <w:tcW w:w="1612" w:type="dxa"/>
            <w:vMerge w:val="restart"/>
            <w:tcBorders>
              <w:top w:val="nil"/>
              <w:left w:val="single" w:sz="4" w:space="0" w:color="auto"/>
              <w:right w:val="single" w:sz="4" w:space="0" w:color="auto"/>
            </w:tcBorders>
            <w:shd w:val="clear" w:color="auto" w:fill="FFFFFF"/>
            <w:noWrap/>
            <w:vAlign w:val="bottom"/>
          </w:tcPr>
          <w:p w:rsidR="00074248" w:rsidRPr="00074248" w:rsidP="00E85CCB" w14:paraId="0C168724" w14:textId="77777777">
            <w:pPr>
              <w:keepNext/>
              <w:keepLines/>
              <w:spacing w:after="120"/>
              <w:jc w:val="right"/>
              <w:rPr>
                <w:rFonts w:cs="Times New Roman"/>
                <w:color w:val="000000"/>
                <w:kern w:val="0"/>
                <w:szCs w:val="22"/>
              </w:rPr>
            </w:pPr>
            <w:r w:rsidRPr="00074248">
              <w:rPr>
                <w:rFonts w:cs="Times New Roman"/>
                <w:color w:val="000000"/>
                <w:kern w:val="0"/>
                <w:szCs w:val="22"/>
              </w:rPr>
              <w:t>Cable Systems</w:t>
            </w:r>
          </w:p>
        </w:tc>
        <w:tc>
          <w:tcPr>
            <w:tcW w:w="1260" w:type="dxa"/>
            <w:vMerge w:val="restart"/>
            <w:tcBorders>
              <w:top w:val="nil"/>
              <w:left w:val="single" w:sz="4" w:space="0" w:color="auto"/>
              <w:right w:val="single" w:sz="4" w:space="0" w:color="auto"/>
            </w:tcBorders>
            <w:shd w:val="clear" w:color="auto" w:fill="FFFFFF"/>
            <w:vAlign w:val="bottom"/>
          </w:tcPr>
          <w:p w:rsidR="00074248" w:rsidRPr="00074248" w:rsidP="00074248" w14:paraId="574B2474" w14:textId="77777777">
            <w:pPr>
              <w:keepNext/>
              <w:keepLines/>
              <w:spacing w:after="120"/>
              <w:jc w:val="center"/>
              <w:rPr>
                <w:rFonts w:cs="Times New Roman"/>
                <w:color w:val="000000"/>
                <w:kern w:val="0"/>
                <w:szCs w:val="22"/>
              </w:rPr>
            </w:pPr>
            <w:r w:rsidRPr="00074248">
              <w:rPr>
                <w:rFonts w:cs="Times New Roman"/>
                <w:bCs w:val="0"/>
                <w:color w:val="000000"/>
                <w:kern w:val="0"/>
                <w:szCs w:val="22"/>
              </w:rPr>
              <w:t>2812</w:t>
            </w:r>
          </w:p>
        </w:tc>
        <w:tc>
          <w:tcPr>
            <w:tcW w:w="1260" w:type="dxa"/>
            <w:vMerge w:val="restart"/>
            <w:tcBorders>
              <w:top w:val="single" w:sz="4" w:space="0" w:color="auto"/>
              <w:left w:val="nil"/>
              <w:right w:val="single" w:sz="4" w:space="0" w:color="auto"/>
            </w:tcBorders>
            <w:shd w:val="clear" w:color="auto" w:fill="FFFFFF"/>
            <w:noWrap/>
            <w:vAlign w:val="bottom"/>
          </w:tcPr>
          <w:p w:rsidR="00074248" w:rsidRPr="00074248" w:rsidP="00074248" w14:paraId="78C24EB4"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20</w:t>
            </w:r>
          </w:p>
        </w:tc>
        <w:tc>
          <w:tcPr>
            <w:tcW w:w="923" w:type="dxa"/>
            <w:vMerge w:val="restart"/>
            <w:tcBorders>
              <w:top w:val="single" w:sz="4" w:space="0" w:color="auto"/>
              <w:left w:val="nil"/>
              <w:right w:val="single" w:sz="4" w:space="0" w:color="auto"/>
            </w:tcBorders>
            <w:shd w:val="clear" w:color="auto" w:fill="FFFFFF"/>
            <w:vAlign w:val="bottom"/>
          </w:tcPr>
          <w:p w:rsidR="00074248" w:rsidRPr="00074248" w:rsidP="00074248" w14:paraId="5152440E" w14:textId="77777777">
            <w:pPr>
              <w:keepNext/>
              <w:keepLines/>
              <w:spacing w:after="120"/>
              <w:jc w:val="center"/>
              <w:rPr>
                <w:rFonts w:cs="Times New Roman"/>
                <w:bCs w:val="0"/>
                <w:kern w:val="0"/>
                <w:szCs w:val="22"/>
              </w:rPr>
            </w:pPr>
            <w:r w:rsidRPr="00074248">
              <w:rPr>
                <w:rFonts w:cs="Times New Roman"/>
                <w:bCs w:val="0"/>
                <w:kern w:val="0"/>
                <w:szCs w:val="22"/>
              </w:rPr>
              <w:t>0.7%</w:t>
            </w:r>
          </w:p>
        </w:tc>
        <w:tc>
          <w:tcPr>
            <w:tcW w:w="1327" w:type="dxa"/>
            <w:vMerge w:val="restart"/>
            <w:tcBorders>
              <w:top w:val="single" w:sz="4" w:space="0" w:color="auto"/>
              <w:left w:val="nil"/>
              <w:right w:val="single" w:sz="4" w:space="0" w:color="auto"/>
            </w:tcBorders>
            <w:shd w:val="clear" w:color="auto" w:fill="FFFFFF"/>
            <w:vAlign w:val="bottom"/>
          </w:tcPr>
          <w:p w:rsidR="00074248" w:rsidRPr="00074248" w:rsidP="00074248" w14:paraId="5C099FE1"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127</w:t>
            </w:r>
          </w:p>
        </w:tc>
        <w:tc>
          <w:tcPr>
            <w:tcW w:w="833" w:type="dxa"/>
            <w:vMerge w:val="restart"/>
            <w:tcBorders>
              <w:top w:val="single" w:sz="4" w:space="0" w:color="auto"/>
              <w:left w:val="nil"/>
              <w:right w:val="single" w:sz="4" w:space="0" w:color="auto"/>
            </w:tcBorders>
            <w:shd w:val="clear" w:color="auto" w:fill="FFFFFF"/>
            <w:vAlign w:val="bottom"/>
          </w:tcPr>
          <w:p w:rsidR="00074248" w:rsidRPr="00074248" w:rsidP="00074248" w14:paraId="78476FEC" w14:textId="77777777">
            <w:pPr>
              <w:keepNext/>
              <w:keepLines/>
              <w:spacing w:after="120"/>
              <w:jc w:val="center"/>
              <w:rPr>
                <w:rFonts w:cs="Times New Roman"/>
                <w:bCs w:val="0"/>
                <w:kern w:val="0"/>
                <w:szCs w:val="22"/>
              </w:rPr>
            </w:pPr>
            <w:r w:rsidRPr="00074248">
              <w:rPr>
                <w:rFonts w:cs="Times New Roman"/>
                <w:bCs w:val="0"/>
                <w:kern w:val="0"/>
                <w:szCs w:val="22"/>
              </w:rPr>
              <w:t>4.5%</w:t>
            </w:r>
          </w:p>
        </w:tc>
        <w:tc>
          <w:tcPr>
            <w:tcW w:w="1237" w:type="dxa"/>
            <w:vMerge w:val="restart"/>
            <w:tcBorders>
              <w:top w:val="single" w:sz="4" w:space="0" w:color="auto"/>
              <w:left w:val="nil"/>
              <w:right w:val="single" w:sz="4" w:space="0" w:color="auto"/>
            </w:tcBorders>
            <w:shd w:val="clear" w:color="auto" w:fill="FFFFFF"/>
            <w:vAlign w:val="bottom"/>
          </w:tcPr>
          <w:p w:rsidR="00074248" w:rsidRPr="00074248" w:rsidP="00074248" w14:paraId="679DB43B"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2665</w:t>
            </w:r>
          </w:p>
        </w:tc>
        <w:tc>
          <w:tcPr>
            <w:tcW w:w="900" w:type="dxa"/>
            <w:tcBorders>
              <w:top w:val="single" w:sz="4" w:space="0" w:color="auto"/>
              <w:left w:val="nil"/>
              <w:right w:val="single" w:sz="4" w:space="0" w:color="auto"/>
            </w:tcBorders>
            <w:shd w:val="clear" w:color="auto" w:fill="FFFFFF"/>
            <w:vAlign w:val="bottom"/>
          </w:tcPr>
          <w:p w:rsidR="00074248" w:rsidRPr="00074248" w:rsidP="00074248" w14:paraId="2818333F" w14:textId="77777777">
            <w:pPr>
              <w:keepNext/>
              <w:keepLines/>
              <w:spacing w:after="120"/>
              <w:rPr>
                <w:rFonts w:cs="Times New Roman"/>
                <w:bCs w:val="0"/>
                <w:color w:val="FF0000"/>
                <w:kern w:val="0"/>
                <w:szCs w:val="22"/>
              </w:rPr>
            </w:pPr>
          </w:p>
        </w:tc>
      </w:tr>
      <w:tr w14:paraId="16808902" w14:textId="77777777" w:rsidTr="00736673">
        <w:tblPrEx>
          <w:tblW w:w="9352" w:type="dxa"/>
          <w:tblInd w:w="93" w:type="dxa"/>
          <w:tblLayout w:type="fixed"/>
          <w:tblLook w:val="0000"/>
        </w:tblPrEx>
        <w:trPr>
          <w:cantSplit/>
          <w:trHeight w:val="117"/>
        </w:trPr>
        <w:tc>
          <w:tcPr>
            <w:tcW w:w="1612" w:type="dxa"/>
            <w:vMerge/>
            <w:tcBorders>
              <w:left w:val="single" w:sz="4" w:space="0" w:color="auto"/>
              <w:bottom w:val="single" w:sz="4" w:space="0" w:color="auto"/>
              <w:right w:val="single" w:sz="4" w:space="0" w:color="auto"/>
            </w:tcBorders>
            <w:vAlign w:val="bottom"/>
          </w:tcPr>
          <w:p w:rsidR="00074248" w:rsidRPr="00074248" w:rsidP="00074248" w14:paraId="23B1631A" w14:textId="77777777">
            <w:pPr>
              <w:keepNext/>
              <w:keepLines/>
              <w:spacing w:after="120"/>
              <w:jc w:val="right"/>
              <w:rPr>
                <w:rFonts w:cs="Times New Roman"/>
                <w:bCs w:val="0"/>
                <w:color w:val="000000"/>
                <w:kern w:val="0"/>
                <w:szCs w:val="22"/>
              </w:rPr>
            </w:pPr>
          </w:p>
        </w:tc>
        <w:tc>
          <w:tcPr>
            <w:tcW w:w="1260" w:type="dxa"/>
            <w:vMerge/>
            <w:tcBorders>
              <w:left w:val="single" w:sz="4" w:space="0" w:color="auto"/>
              <w:bottom w:val="single" w:sz="4" w:space="0" w:color="auto"/>
              <w:right w:val="single" w:sz="4" w:space="0" w:color="auto"/>
            </w:tcBorders>
            <w:vAlign w:val="bottom"/>
          </w:tcPr>
          <w:p w:rsidR="00074248" w:rsidRPr="00074248" w:rsidP="00074248" w14:paraId="6733A712" w14:textId="77777777">
            <w:pPr>
              <w:keepNext/>
              <w:keepLines/>
              <w:spacing w:after="120"/>
              <w:jc w:val="center"/>
              <w:rPr>
                <w:rFonts w:cs="Times New Roman"/>
                <w:bCs w:val="0"/>
                <w:color w:val="000000"/>
                <w:kern w:val="0"/>
                <w:szCs w:val="22"/>
              </w:rPr>
            </w:pPr>
          </w:p>
        </w:tc>
        <w:tc>
          <w:tcPr>
            <w:tcW w:w="1260" w:type="dxa"/>
            <w:vMerge/>
            <w:tcBorders>
              <w:left w:val="nil"/>
              <w:bottom w:val="single" w:sz="4" w:space="0" w:color="auto"/>
              <w:right w:val="single" w:sz="4" w:space="0" w:color="auto"/>
            </w:tcBorders>
            <w:vAlign w:val="bottom"/>
          </w:tcPr>
          <w:p w:rsidR="00074248" w:rsidRPr="00074248" w:rsidP="00074248" w14:paraId="439D5A72" w14:textId="77777777">
            <w:pPr>
              <w:keepNext/>
              <w:keepLines/>
              <w:spacing w:after="120"/>
              <w:jc w:val="center"/>
              <w:rPr>
                <w:rFonts w:cs="Times New Roman"/>
                <w:bCs w:val="0"/>
                <w:color w:val="000000"/>
                <w:kern w:val="0"/>
                <w:szCs w:val="22"/>
              </w:rPr>
            </w:pPr>
          </w:p>
        </w:tc>
        <w:tc>
          <w:tcPr>
            <w:tcW w:w="923" w:type="dxa"/>
            <w:vMerge/>
            <w:tcBorders>
              <w:left w:val="nil"/>
              <w:bottom w:val="single" w:sz="4" w:space="0" w:color="auto"/>
              <w:right w:val="single" w:sz="4" w:space="0" w:color="auto"/>
            </w:tcBorders>
            <w:vAlign w:val="bottom"/>
          </w:tcPr>
          <w:p w:rsidR="00074248" w:rsidRPr="00074248" w:rsidP="00074248" w14:paraId="06A39964" w14:textId="77777777">
            <w:pPr>
              <w:keepNext/>
              <w:keepLines/>
              <w:spacing w:after="120"/>
              <w:jc w:val="center"/>
              <w:rPr>
                <w:rFonts w:cs="Times New Roman"/>
                <w:bCs w:val="0"/>
                <w:kern w:val="0"/>
                <w:szCs w:val="22"/>
              </w:rPr>
            </w:pPr>
          </w:p>
        </w:tc>
        <w:tc>
          <w:tcPr>
            <w:tcW w:w="1327" w:type="dxa"/>
            <w:vMerge/>
            <w:tcBorders>
              <w:left w:val="nil"/>
              <w:bottom w:val="single" w:sz="4" w:space="0" w:color="auto"/>
              <w:right w:val="single" w:sz="4" w:space="0" w:color="auto"/>
            </w:tcBorders>
            <w:vAlign w:val="bottom"/>
          </w:tcPr>
          <w:p w:rsidR="00074248" w:rsidRPr="00074248" w:rsidP="00074248" w14:paraId="4D4039DD" w14:textId="77777777">
            <w:pPr>
              <w:keepNext/>
              <w:keepLines/>
              <w:spacing w:after="120"/>
              <w:jc w:val="center"/>
              <w:rPr>
                <w:rFonts w:cs="Times New Roman"/>
                <w:bCs w:val="0"/>
                <w:color w:val="000000"/>
                <w:kern w:val="0"/>
                <w:szCs w:val="22"/>
              </w:rPr>
            </w:pPr>
          </w:p>
        </w:tc>
        <w:tc>
          <w:tcPr>
            <w:tcW w:w="833" w:type="dxa"/>
            <w:vMerge/>
            <w:tcBorders>
              <w:left w:val="nil"/>
              <w:bottom w:val="single" w:sz="4" w:space="0" w:color="auto"/>
              <w:right w:val="single" w:sz="4" w:space="0" w:color="auto"/>
            </w:tcBorders>
            <w:vAlign w:val="bottom"/>
          </w:tcPr>
          <w:p w:rsidR="00074248" w:rsidRPr="00074248" w:rsidP="00074248" w14:paraId="33F8B764" w14:textId="77777777">
            <w:pPr>
              <w:keepNext/>
              <w:keepLines/>
              <w:spacing w:after="120"/>
              <w:jc w:val="center"/>
              <w:rPr>
                <w:rFonts w:cs="Times New Roman"/>
                <w:bCs w:val="0"/>
                <w:kern w:val="0"/>
                <w:szCs w:val="22"/>
              </w:rPr>
            </w:pPr>
          </w:p>
        </w:tc>
        <w:tc>
          <w:tcPr>
            <w:tcW w:w="1237" w:type="dxa"/>
            <w:vMerge/>
            <w:tcBorders>
              <w:left w:val="nil"/>
              <w:bottom w:val="single" w:sz="4" w:space="0" w:color="auto"/>
              <w:right w:val="single" w:sz="4" w:space="0" w:color="auto"/>
            </w:tcBorders>
            <w:vAlign w:val="bottom"/>
          </w:tcPr>
          <w:p w:rsidR="00074248" w:rsidRPr="00074248" w:rsidP="00074248" w14:paraId="67A04494" w14:textId="77777777">
            <w:pPr>
              <w:keepNext/>
              <w:keepLines/>
              <w:spacing w:after="120"/>
              <w:jc w:val="center"/>
              <w:rPr>
                <w:rFonts w:cs="Times New Roman"/>
                <w:bCs w:val="0"/>
                <w:color w:val="000000"/>
                <w:kern w:val="0"/>
                <w:szCs w:val="22"/>
              </w:rPr>
            </w:pPr>
          </w:p>
        </w:tc>
        <w:tc>
          <w:tcPr>
            <w:tcW w:w="900" w:type="dxa"/>
            <w:tcBorders>
              <w:left w:val="nil"/>
              <w:bottom w:val="single" w:sz="4" w:space="0" w:color="auto"/>
              <w:right w:val="single" w:sz="4" w:space="0" w:color="auto"/>
            </w:tcBorders>
            <w:vAlign w:val="center"/>
          </w:tcPr>
          <w:p w:rsidR="00074248" w:rsidRPr="00074248" w:rsidP="00736673" w14:paraId="0A73C606" w14:textId="77777777">
            <w:pPr>
              <w:keepNext/>
              <w:keepLines/>
              <w:spacing w:after="120"/>
              <w:jc w:val="center"/>
              <w:rPr>
                <w:rFonts w:cs="Times New Roman"/>
                <w:bCs w:val="0"/>
                <w:color w:val="FF0000"/>
                <w:kern w:val="0"/>
                <w:szCs w:val="22"/>
              </w:rPr>
            </w:pPr>
            <w:r w:rsidRPr="00074248">
              <w:rPr>
                <w:rFonts w:cs="Times New Roman"/>
                <w:bCs w:val="0"/>
                <w:kern w:val="0"/>
                <w:szCs w:val="22"/>
              </w:rPr>
              <w:t>94.8%</w:t>
            </w:r>
          </w:p>
        </w:tc>
      </w:tr>
      <w:tr w14:paraId="4007FC75" w14:textId="77777777" w:rsidTr="00736673">
        <w:tblPrEx>
          <w:tblW w:w="9352" w:type="dxa"/>
          <w:tblInd w:w="93" w:type="dxa"/>
          <w:tblLayout w:type="fixed"/>
          <w:tblLook w:val="0000"/>
        </w:tblPrEx>
        <w:trPr>
          <w:cantSplit/>
          <w:trHeight w:val="80"/>
        </w:trPr>
        <w:tc>
          <w:tcPr>
            <w:tcW w:w="1612" w:type="dxa"/>
            <w:tcBorders>
              <w:left w:val="single" w:sz="4" w:space="0" w:color="auto"/>
              <w:bottom w:val="single" w:sz="4" w:space="0" w:color="auto"/>
              <w:right w:val="single" w:sz="4" w:space="0" w:color="auto"/>
            </w:tcBorders>
            <w:vAlign w:val="bottom"/>
          </w:tcPr>
          <w:p w:rsidR="00074248" w:rsidRPr="00074248" w:rsidP="00074248" w14:paraId="7D7BA8DA" w14:textId="77777777">
            <w:pPr>
              <w:keepNext/>
              <w:keepLines/>
              <w:spacing w:after="120"/>
              <w:jc w:val="right"/>
              <w:rPr>
                <w:rFonts w:cs="Times New Roman"/>
                <w:bCs w:val="0"/>
                <w:color w:val="000000"/>
                <w:kern w:val="0"/>
                <w:szCs w:val="22"/>
              </w:rPr>
            </w:pPr>
            <w:r w:rsidRPr="00074248">
              <w:rPr>
                <w:rFonts w:cs="Times New Roman"/>
                <w:bCs w:val="0"/>
                <w:color w:val="000000"/>
                <w:kern w:val="0"/>
                <w:szCs w:val="22"/>
              </w:rPr>
              <w:t>IPTV Provider</w:t>
            </w:r>
            <w:r w:rsidR="00D15B51">
              <w:rPr>
                <w:rFonts w:cs="Times New Roman"/>
                <w:bCs w:val="0"/>
                <w:color w:val="000000"/>
                <w:kern w:val="0"/>
                <w:szCs w:val="22"/>
              </w:rPr>
              <w:t>s</w:t>
            </w:r>
          </w:p>
        </w:tc>
        <w:tc>
          <w:tcPr>
            <w:tcW w:w="1260" w:type="dxa"/>
            <w:tcBorders>
              <w:left w:val="single" w:sz="4" w:space="0" w:color="auto"/>
              <w:bottom w:val="single" w:sz="4" w:space="0" w:color="auto"/>
              <w:right w:val="single" w:sz="4" w:space="0" w:color="auto"/>
            </w:tcBorders>
            <w:vAlign w:val="bottom"/>
          </w:tcPr>
          <w:p w:rsidR="00074248" w:rsidRPr="00074248" w:rsidP="00074248" w14:paraId="0C099E6C"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246</w:t>
            </w:r>
          </w:p>
        </w:tc>
        <w:tc>
          <w:tcPr>
            <w:tcW w:w="1260" w:type="dxa"/>
            <w:tcBorders>
              <w:left w:val="nil"/>
              <w:bottom w:val="single" w:sz="4" w:space="0" w:color="auto"/>
              <w:right w:val="single" w:sz="4" w:space="0" w:color="auto"/>
            </w:tcBorders>
            <w:vAlign w:val="bottom"/>
          </w:tcPr>
          <w:p w:rsidR="00074248" w:rsidRPr="00074248" w:rsidP="00074248" w14:paraId="680F4603"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3</w:t>
            </w:r>
          </w:p>
        </w:tc>
        <w:tc>
          <w:tcPr>
            <w:tcW w:w="923" w:type="dxa"/>
            <w:tcBorders>
              <w:left w:val="nil"/>
              <w:bottom w:val="single" w:sz="4" w:space="0" w:color="auto"/>
              <w:right w:val="single" w:sz="4" w:space="0" w:color="auto"/>
            </w:tcBorders>
            <w:vAlign w:val="bottom"/>
          </w:tcPr>
          <w:p w:rsidR="00074248" w:rsidRPr="00074248" w:rsidP="00074248" w14:paraId="2CFDC472" w14:textId="77777777">
            <w:pPr>
              <w:keepNext/>
              <w:keepLines/>
              <w:spacing w:after="120"/>
              <w:jc w:val="center"/>
              <w:rPr>
                <w:rFonts w:cs="Times New Roman"/>
                <w:bCs w:val="0"/>
                <w:kern w:val="0"/>
                <w:szCs w:val="22"/>
              </w:rPr>
            </w:pPr>
            <w:r w:rsidRPr="00074248">
              <w:rPr>
                <w:rFonts w:cs="Times New Roman"/>
                <w:bCs w:val="0"/>
                <w:kern w:val="0"/>
                <w:szCs w:val="22"/>
              </w:rPr>
              <w:t>1.2%</w:t>
            </w:r>
          </w:p>
        </w:tc>
        <w:tc>
          <w:tcPr>
            <w:tcW w:w="1327" w:type="dxa"/>
            <w:tcBorders>
              <w:left w:val="nil"/>
              <w:bottom w:val="single" w:sz="4" w:space="0" w:color="auto"/>
              <w:right w:val="single" w:sz="4" w:space="0" w:color="auto"/>
            </w:tcBorders>
            <w:vAlign w:val="bottom"/>
          </w:tcPr>
          <w:p w:rsidR="00074248" w:rsidRPr="00074248" w:rsidP="00074248" w14:paraId="1E661DB6"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6</w:t>
            </w:r>
          </w:p>
        </w:tc>
        <w:tc>
          <w:tcPr>
            <w:tcW w:w="833" w:type="dxa"/>
            <w:tcBorders>
              <w:left w:val="nil"/>
              <w:bottom w:val="single" w:sz="4" w:space="0" w:color="auto"/>
              <w:right w:val="single" w:sz="4" w:space="0" w:color="auto"/>
            </w:tcBorders>
            <w:vAlign w:val="bottom"/>
          </w:tcPr>
          <w:p w:rsidR="00074248" w:rsidRPr="00074248" w:rsidP="00074248" w14:paraId="4E8E8FDB" w14:textId="77777777">
            <w:pPr>
              <w:keepNext/>
              <w:keepLines/>
              <w:spacing w:after="120"/>
              <w:jc w:val="center"/>
              <w:rPr>
                <w:rFonts w:cs="Times New Roman"/>
                <w:bCs w:val="0"/>
                <w:kern w:val="0"/>
                <w:szCs w:val="22"/>
              </w:rPr>
            </w:pPr>
            <w:r w:rsidRPr="00074248">
              <w:rPr>
                <w:rFonts w:cs="Times New Roman"/>
                <w:bCs w:val="0"/>
                <w:kern w:val="0"/>
                <w:szCs w:val="22"/>
              </w:rPr>
              <w:t>2.4%</w:t>
            </w:r>
          </w:p>
        </w:tc>
        <w:tc>
          <w:tcPr>
            <w:tcW w:w="1237" w:type="dxa"/>
            <w:tcBorders>
              <w:left w:val="nil"/>
              <w:bottom w:val="single" w:sz="4" w:space="0" w:color="auto"/>
              <w:right w:val="single" w:sz="4" w:space="0" w:color="auto"/>
            </w:tcBorders>
            <w:vAlign w:val="bottom"/>
          </w:tcPr>
          <w:p w:rsidR="00074248" w:rsidRPr="00074248" w:rsidP="00074248" w14:paraId="4E319C00"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237</w:t>
            </w:r>
          </w:p>
        </w:tc>
        <w:tc>
          <w:tcPr>
            <w:tcW w:w="900" w:type="dxa"/>
            <w:tcBorders>
              <w:left w:val="nil"/>
              <w:bottom w:val="single" w:sz="4" w:space="0" w:color="auto"/>
              <w:right w:val="single" w:sz="4" w:space="0" w:color="auto"/>
            </w:tcBorders>
            <w:vAlign w:val="center"/>
          </w:tcPr>
          <w:p w:rsidR="00074248" w:rsidRPr="00074248" w:rsidP="00736673" w14:paraId="603A84DD" w14:textId="77777777">
            <w:pPr>
              <w:keepNext/>
              <w:keepLines/>
              <w:spacing w:after="120"/>
              <w:jc w:val="center"/>
              <w:rPr>
                <w:rFonts w:cs="Times New Roman"/>
                <w:bCs w:val="0"/>
                <w:color w:val="FF0000"/>
                <w:kern w:val="0"/>
                <w:szCs w:val="22"/>
              </w:rPr>
            </w:pPr>
            <w:r w:rsidRPr="00074248">
              <w:rPr>
                <w:rFonts w:cs="Times New Roman"/>
                <w:bCs w:val="0"/>
                <w:kern w:val="0"/>
                <w:szCs w:val="22"/>
              </w:rPr>
              <w:t>96.3%</w:t>
            </w:r>
          </w:p>
        </w:tc>
      </w:tr>
      <w:tr w14:paraId="0CBBBFF2" w14:textId="77777777" w:rsidTr="00DB1669">
        <w:tblPrEx>
          <w:tblW w:w="9352" w:type="dxa"/>
          <w:tblInd w:w="93" w:type="dxa"/>
          <w:tblLayout w:type="fixed"/>
          <w:tblLook w:val="0000"/>
        </w:tblPrEx>
        <w:trPr>
          <w:cantSplit/>
          <w:trHeight w:val="253"/>
        </w:trPr>
        <w:tc>
          <w:tcPr>
            <w:tcW w:w="1612" w:type="dxa"/>
            <w:tcBorders>
              <w:top w:val="nil"/>
              <w:left w:val="single" w:sz="4" w:space="0" w:color="auto"/>
              <w:bottom w:val="single" w:sz="4" w:space="0" w:color="auto"/>
              <w:right w:val="single" w:sz="4" w:space="0" w:color="auto"/>
            </w:tcBorders>
            <w:vAlign w:val="bottom"/>
          </w:tcPr>
          <w:p w:rsidR="00074248" w:rsidRPr="00074248" w:rsidP="00074248" w14:paraId="0D6CFD1B" w14:textId="77777777">
            <w:pPr>
              <w:keepNext/>
              <w:keepLines/>
              <w:spacing w:after="120"/>
              <w:jc w:val="right"/>
              <w:rPr>
                <w:rFonts w:cs="Times New Roman"/>
                <w:bCs w:val="0"/>
                <w:color w:val="000000"/>
                <w:kern w:val="0"/>
                <w:szCs w:val="22"/>
              </w:rPr>
            </w:pPr>
            <w:r w:rsidRPr="00074248">
              <w:rPr>
                <w:rFonts w:cs="Times New Roman"/>
                <w:bCs w:val="0"/>
                <w:color w:val="000000"/>
                <w:kern w:val="0"/>
                <w:szCs w:val="22"/>
              </w:rPr>
              <w:t>Wireline Video System</w:t>
            </w:r>
            <w:r w:rsidR="00D15B51">
              <w:rPr>
                <w:rFonts w:cs="Times New Roman"/>
                <w:bCs w:val="0"/>
                <w:color w:val="000000"/>
                <w:kern w:val="0"/>
                <w:szCs w:val="22"/>
              </w:rPr>
              <w:t>s</w:t>
            </w:r>
          </w:p>
        </w:tc>
        <w:tc>
          <w:tcPr>
            <w:tcW w:w="1260" w:type="dxa"/>
            <w:tcBorders>
              <w:left w:val="single" w:sz="4" w:space="0" w:color="auto"/>
              <w:bottom w:val="single" w:sz="4" w:space="0" w:color="auto"/>
              <w:right w:val="single" w:sz="4" w:space="0" w:color="auto"/>
            </w:tcBorders>
            <w:vAlign w:val="bottom"/>
          </w:tcPr>
          <w:p w:rsidR="00074248" w:rsidRPr="00074248" w:rsidP="00074248" w14:paraId="2936BE2A"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63</w:t>
            </w:r>
          </w:p>
        </w:tc>
        <w:tc>
          <w:tcPr>
            <w:tcW w:w="1260" w:type="dxa"/>
            <w:tcBorders>
              <w:top w:val="nil"/>
              <w:left w:val="nil"/>
              <w:bottom w:val="single" w:sz="4" w:space="0" w:color="auto"/>
              <w:right w:val="single" w:sz="4" w:space="0" w:color="auto"/>
            </w:tcBorders>
            <w:vAlign w:val="bottom"/>
          </w:tcPr>
          <w:p w:rsidR="00074248" w:rsidRPr="00074248" w:rsidP="00074248" w14:paraId="342A246E"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0</w:t>
            </w:r>
          </w:p>
        </w:tc>
        <w:tc>
          <w:tcPr>
            <w:tcW w:w="923" w:type="dxa"/>
            <w:tcBorders>
              <w:left w:val="nil"/>
              <w:bottom w:val="single" w:sz="4" w:space="0" w:color="auto"/>
              <w:right w:val="single" w:sz="4" w:space="0" w:color="auto"/>
            </w:tcBorders>
            <w:vAlign w:val="bottom"/>
          </w:tcPr>
          <w:p w:rsidR="00074248" w:rsidRPr="00074248" w:rsidP="00074248" w14:paraId="4FC45B43" w14:textId="77777777">
            <w:pPr>
              <w:keepNext/>
              <w:keepLines/>
              <w:spacing w:after="120"/>
              <w:jc w:val="center"/>
              <w:rPr>
                <w:rFonts w:cs="Times New Roman"/>
                <w:bCs w:val="0"/>
                <w:kern w:val="0"/>
                <w:szCs w:val="22"/>
              </w:rPr>
            </w:pPr>
            <w:r w:rsidRPr="00074248">
              <w:rPr>
                <w:rFonts w:cs="Times New Roman"/>
                <w:bCs w:val="0"/>
                <w:kern w:val="0"/>
                <w:szCs w:val="22"/>
              </w:rPr>
              <w:t>0.0%</w:t>
            </w:r>
          </w:p>
        </w:tc>
        <w:tc>
          <w:tcPr>
            <w:tcW w:w="1327" w:type="dxa"/>
            <w:tcBorders>
              <w:top w:val="nil"/>
              <w:left w:val="nil"/>
              <w:bottom w:val="single" w:sz="4" w:space="0" w:color="auto"/>
              <w:right w:val="single" w:sz="4" w:space="0" w:color="auto"/>
            </w:tcBorders>
            <w:vAlign w:val="bottom"/>
          </w:tcPr>
          <w:p w:rsidR="00074248" w:rsidRPr="00074248" w:rsidP="00074248" w14:paraId="3AEE083C"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7</w:t>
            </w:r>
          </w:p>
        </w:tc>
        <w:tc>
          <w:tcPr>
            <w:tcW w:w="833" w:type="dxa"/>
            <w:tcBorders>
              <w:left w:val="nil"/>
              <w:bottom w:val="single" w:sz="4" w:space="0" w:color="auto"/>
              <w:right w:val="single" w:sz="4" w:space="0" w:color="auto"/>
            </w:tcBorders>
            <w:vAlign w:val="bottom"/>
          </w:tcPr>
          <w:p w:rsidR="00074248" w:rsidRPr="00074248" w:rsidP="00074248" w14:paraId="58BEB90B" w14:textId="77777777">
            <w:pPr>
              <w:keepNext/>
              <w:keepLines/>
              <w:spacing w:after="120"/>
              <w:jc w:val="center"/>
              <w:rPr>
                <w:rFonts w:cs="Times New Roman"/>
                <w:bCs w:val="0"/>
                <w:kern w:val="0"/>
                <w:szCs w:val="22"/>
              </w:rPr>
            </w:pPr>
            <w:r w:rsidRPr="00074248">
              <w:rPr>
                <w:rFonts w:cs="Times New Roman"/>
                <w:bCs w:val="0"/>
                <w:kern w:val="0"/>
                <w:szCs w:val="22"/>
              </w:rPr>
              <w:t>11.1%</w:t>
            </w:r>
          </w:p>
        </w:tc>
        <w:tc>
          <w:tcPr>
            <w:tcW w:w="1237" w:type="dxa"/>
            <w:tcBorders>
              <w:left w:val="nil"/>
              <w:bottom w:val="single" w:sz="4" w:space="0" w:color="auto"/>
              <w:right w:val="single" w:sz="4" w:space="0" w:color="auto"/>
            </w:tcBorders>
            <w:vAlign w:val="bottom"/>
          </w:tcPr>
          <w:p w:rsidR="00074248" w:rsidRPr="00074248" w:rsidP="00074248" w14:paraId="27CDAD45"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56</w:t>
            </w:r>
          </w:p>
        </w:tc>
        <w:tc>
          <w:tcPr>
            <w:tcW w:w="900" w:type="dxa"/>
            <w:tcBorders>
              <w:left w:val="nil"/>
              <w:bottom w:val="single" w:sz="4" w:space="0" w:color="auto"/>
              <w:right w:val="single" w:sz="4" w:space="0" w:color="auto"/>
            </w:tcBorders>
            <w:vAlign w:val="bottom"/>
          </w:tcPr>
          <w:p w:rsidR="00074248" w:rsidRPr="00074248" w:rsidP="00074248" w14:paraId="187CF47B" w14:textId="77777777">
            <w:pPr>
              <w:keepNext/>
              <w:keepLines/>
              <w:spacing w:after="120"/>
              <w:jc w:val="center"/>
              <w:rPr>
                <w:rFonts w:cs="Times New Roman"/>
                <w:bCs w:val="0"/>
                <w:kern w:val="0"/>
                <w:szCs w:val="22"/>
              </w:rPr>
            </w:pPr>
            <w:r w:rsidRPr="00074248">
              <w:rPr>
                <w:rFonts w:cs="Times New Roman"/>
                <w:bCs w:val="0"/>
                <w:kern w:val="0"/>
                <w:szCs w:val="22"/>
              </w:rPr>
              <w:t>88.9%</w:t>
            </w:r>
          </w:p>
        </w:tc>
      </w:tr>
      <w:tr w14:paraId="47652A59" w14:textId="77777777" w:rsidTr="00DB1669">
        <w:tblPrEx>
          <w:tblW w:w="9352" w:type="dxa"/>
          <w:tblInd w:w="93" w:type="dxa"/>
          <w:tblLayout w:type="fixed"/>
          <w:tblLook w:val="0000"/>
        </w:tblPrEx>
        <w:trPr>
          <w:cantSplit/>
          <w:trHeight w:val="253"/>
        </w:trPr>
        <w:tc>
          <w:tcPr>
            <w:tcW w:w="1612" w:type="dxa"/>
            <w:tcBorders>
              <w:top w:val="nil"/>
              <w:left w:val="single" w:sz="4" w:space="0" w:color="auto"/>
              <w:bottom w:val="single" w:sz="4" w:space="0" w:color="auto"/>
              <w:right w:val="single" w:sz="4" w:space="0" w:color="auto"/>
            </w:tcBorders>
            <w:vAlign w:val="bottom"/>
          </w:tcPr>
          <w:p w:rsidR="00D15B51" w:rsidRPr="00074248" w:rsidP="00D15B51" w14:paraId="635F4578" w14:textId="77777777">
            <w:pPr>
              <w:keepNext/>
              <w:keepLines/>
              <w:spacing w:after="120"/>
              <w:jc w:val="right"/>
              <w:rPr>
                <w:rFonts w:cs="Times New Roman"/>
                <w:bCs w:val="0"/>
                <w:color w:val="000000"/>
                <w:kern w:val="0"/>
                <w:szCs w:val="22"/>
              </w:rPr>
            </w:pPr>
            <w:r w:rsidRPr="00074248">
              <w:rPr>
                <w:rFonts w:cs="Times New Roman"/>
                <w:bCs w:val="0"/>
                <w:color w:val="000000"/>
                <w:kern w:val="0"/>
                <w:szCs w:val="22"/>
              </w:rPr>
              <w:t>Other</w:t>
            </w:r>
          </w:p>
        </w:tc>
        <w:tc>
          <w:tcPr>
            <w:tcW w:w="1260" w:type="dxa"/>
            <w:tcBorders>
              <w:top w:val="nil"/>
              <w:left w:val="single" w:sz="4" w:space="0" w:color="auto"/>
              <w:bottom w:val="single" w:sz="4" w:space="0" w:color="auto"/>
              <w:right w:val="single" w:sz="4" w:space="0" w:color="auto"/>
            </w:tcBorders>
            <w:vAlign w:val="bottom"/>
          </w:tcPr>
          <w:p w:rsidR="00D15B51" w:rsidRPr="00074248" w:rsidP="00D15B51" w14:paraId="58F8E562"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17</w:t>
            </w:r>
          </w:p>
        </w:tc>
        <w:tc>
          <w:tcPr>
            <w:tcW w:w="1260" w:type="dxa"/>
            <w:tcBorders>
              <w:top w:val="nil"/>
              <w:left w:val="nil"/>
              <w:bottom w:val="single" w:sz="4" w:space="0" w:color="auto"/>
              <w:right w:val="single" w:sz="4" w:space="0" w:color="auto"/>
            </w:tcBorders>
            <w:vAlign w:val="bottom"/>
          </w:tcPr>
          <w:p w:rsidR="00D15B51" w:rsidRPr="00074248" w:rsidP="00D15B51" w14:paraId="5F84C3CE"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w:t>
            </w:r>
          </w:p>
        </w:tc>
        <w:tc>
          <w:tcPr>
            <w:tcW w:w="923" w:type="dxa"/>
            <w:tcBorders>
              <w:top w:val="nil"/>
              <w:left w:val="nil"/>
              <w:bottom w:val="single" w:sz="4" w:space="0" w:color="auto"/>
              <w:right w:val="single" w:sz="4" w:space="0" w:color="auto"/>
            </w:tcBorders>
            <w:vAlign w:val="bottom"/>
          </w:tcPr>
          <w:p w:rsidR="00D15B51" w:rsidRPr="00074248" w:rsidP="00D15B51" w14:paraId="0358A290" w14:textId="77777777">
            <w:pPr>
              <w:keepNext/>
              <w:keepLines/>
              <w:spacing w:after="120"/>
              <w:jc w:val="center"/>
              <w:rPr>
                <w:rFonts w:cs="Times New Roman"/>
                <w:bCs w:val="0"/>
                <w:kern w:val="0"/>
                <w:szCs w:val="22"/>
              </w:rPr>
            </w:pPr>
            <w:r w:rsidRPr="00074248">
              <w:rPr>
                <w:rFonts w:cs="Times New Roman"/>
                <w:bCs w:val="0"/>
                <w:kern w:val="0"/>
                <w:szCs w:val="22"/>
              </w:rPr>
              <w:t>5.9%</w:t>
            </w:r>
          </w:p>
        </w:tc>
        <w:tc>
          <w:tcPr>
            <w:tcW w:w="1327" w:type="dxa"/>
            <w:tcBorders>
              <w:top w:val="nil"/>
              <w:left w:val="nil"/>
              <w:bottom w:val="single" w:sz="4" w:space="0" w:color="auto"/>
              <w:right w:val="single" w:sz="4" w:space="0" w:color="auto"/>
            </w:tcBorders>
            <w:vAlign w:val="bottom"/>
          </w:tcPr>
          <w:p w:rsidR="00D15B51" w:rsidRPr="00074248" w:rsidP="00D15B51" w14:paraId="7A6110ED"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w:t>
            </w:r>
          </w:p>
        </w:tc>
        <w:tc>
          <w:tcPr>
            <w:tcW w:w="833" w:type="dxa"/>
            <w:tcBorders>
              <w:top w:val="nil"/>
              <w:left w:val="nil"/>
              <w:bottom w:val="single" w:sz="4" w:space="0" w:color="auto"/>
              <w:right w:val="single" w:sz="4" w:space="0" w:color="auto"/>
            </w:tcBorders>
            <w:vAlign w:val="bottom"/>
          </w:tcPr>
          <w:p w:rsidR="00D15B51" w:rsidRPr="00074248" w:rsidP="00D15B51" w14:paraId="78D35126" w14:textId="77777777">
            <w:pPr>
              <w:keepNext/>
              <w:keepLines/>
              <w:spacing w:after="120"/>
              <w:jc w:val="center"/>
              <w:rPr>
                <w:rFonts w:cs="Times New Roman"/>
                <w:bCs w:val="0"/>
                <w:kern w:val="0"/>
                <w:szCs w:val="22"/>
              </w:rPr>
            </w:pPr>
            <w:r w:rsidRPr="00074248">
              <w:rPr>
                <w:rFonts w:cs="Times New Roman"/>
                <w:bCs w:val="0"/>
                <w:kern w:val="0"/>
                <w:szCs w:val="22"/>
              </w:rPr>
              <w:t>5.9%</w:t>
            </w:r>
          </w:p>
        </w:tc>
        <w:tc>
          <w:tcPr>
            <w:tcW w:w="1237" w:type="dxa"/>
            <w:tcBorders>
              <w:top w:val="nil"/>
              <w:left w:val="nil"/>
              <w:bottom w:val="single" w:sz="4" w:space="0" w:color="auto"/>
              <w:right w:val="single" w:sz="4" w:space="0" w:color="auto"/>
            </w:tcBorders>
            <w:vAlign w:val="bottom"/>
          </w:tcPr>
          <w:p w:rsidR="00D15B51" w:rsidRPr="00074248" w:rsidP="00D15B51" w14:paraId="5DDD2526" w14:textId="77777777">
            <w:pPr>
              <w:keepNext/>
              <w:keepLines/>
              <w:spacing w:after="120"/>
              <w:jc w:val="center"/>
              <w:rPr>
                <w:rFonts w:cs="Times New Roman"/>
                <w:bCs w:val="0"/>
                <w:color w:val="000000"/>
                <w:kern w:val="0"/>
                <w:szCs w:val="22"/>
              </w:rPr>
            </w:pPr>
            <w:r w:rsidRPr="00074248">
              <w:rPr>
                <w:rFonts w:cs="Times New Roman"/>
                <w:bCs w:val="0"/>
                <w:color w:val="000000"/>
                <w:kern w:val="0"/>
                <w:szCs w:val="22"/>
              </w:rPr>
              <w:t>15</w:t>
            </w:r>
          </w:p>
        </w:tc>
        <w:tc>
          <w:tcPr>
            <w:tcW w:w="900" w:type="dxa"/>
            <w:tcBorders>
              <w:top w:val="nil"/>
              <w:left w:val="nil"/>
              <w:bottom w:val="single" w:sz="4" w:space="0" w:color="auto"/>
              <w:right w:val="single" w:sz="4" w:space="0" w:color="auto"/>
            </w:tcBorders>
            <w:vAlign w:val="bottom"/>
          </w:tcPr>
          <w:p w:rsidR="00D15B51" w:rsidRPr="00074248" w:rsidP="00D15B51" w14:paraId="07E716DF" w14:textId="77777777">
            <w:pPr>
              <w:keepNext/>
              <w:keepLines/>
              <w:spacing w:after="120"/>
              <w:jc w:val="center"/>
              <w:rPr>
                <w:rFonts w:cs="Times New Roman"/>
                <w:bCs w:val="0"/>
                <w:color w:val="FF0000"/>
                <w:kern w:val="0"/>
                <w:szCs w:val="22"/>
              </w:rPr>
            </w:pPr>
            <w:r w:rsidRPr="00074248">
              <w:rPr>
                <w:rFonts w:cs="Times New Roman"/>
                <w:bCs w:val="0"/>
                <w:kern w:val="0"/>
                <w:szCs w:val="22"/>
              </w:rPr>
              <w:t>88.2%</w:t>
            </w:r>
          </w:p>
        </w:tc>
      </w:tr>
      <w:tr w14:paraId="386453F0" w14:textId="77777777" w:rsidTr="00DB1669">
        <w:tblPrEx>
          <w:tblW w:w="9352" w:type="dxa"/>
          <w:tblInd w:w="93" w:type="dxa"/>
          <w:tblLayout w:type="fixed"/>
          <w:tblLook w:val="0000"/>
        </w:tblPrEx>
        <w:trPr>
          <w:cantSplit/>
          <w:trHeight w:val="253"/>
        </w:trPr>
        <w:tc>
          <w:tcPr>
            <w:tcW w:w="1612" w:type="dxa"/>
            <w:tcBorders>
              <w:top w:val="nil"/>
              <w:left w:val="single" w:sz="4" w:space="0" w:color="auto"/>
              <w:bottom w:val="single" w:sz="4" w:space="0" w:color="auto"/>
              <w:right w:val="single" w:sz="4" w:space="0" w:color="auto"/>
            </w:tcBorders>
            <w:shd w:val="clear" w:color="auto" w:fill="C0C0C0"/>
            <w:vAlign w:val="bottom"/>
          </w:tcPr>
          <w:p w:rsidR="00D15B51" w:rsidRPr="00074248" w:rsidP="00D15B51" w14:paraId="0F168129" w14:textId="77777777">
            <w:pPr>
              <w:spacing w:after="120"/>
              <w:jc w:val="center"/>
              <w:rPr>
                <w:rFonts w:cs="Times New Roman"/>
                <w:b/>
                <w:i/>
                <w:iCs/>
                <w:color w:val="000000"/>
                <w:kern w:val="0"/>
                <w:szCs w:val="22"/>
              </w:rPr>
            </w:pPr>
            <w:r w:rsidRPr="00074248">
              <w:rPr>
                <w:rFonts w:cs="Times New Roman"/>
                <w:b/>
                <w:i/>
                <w:iCs/>
                <w:color w:val="000000"/>
                <w:kern w:val="0"/>
                <w:szCs w:val="22"/>
              </w:rPr>
              <w:t>All Total</w:t>
            </w:r>
          </w:p>
        </w:tc>
        <w:tc>
          <w:tcPr>
            <w:tcW w:w="1260" w:type="dxa"/>
            <w:tcBorders>
              <w:top w:val="nil"/>
              <w:left w:val="single" w:sz="4" w:space="0" w:color="auto"/>
              <w:bottom w:val="single" w:sz="4" w:space="0" w:color="auto"/>
              <w:right w:val="single" w:sz="4" w:space="0" w:color="auto"/>
            </w:tcBorders>
            <w:shd w:val="clear" w:color="auto" w:fill="C0C0C0"/>
            <w:vAlign w:val="bottom"/>
          </w:tcPr>
          <w:p w:rsidR="00D15B51" w:rsidRPr="00074248" w:rsidP="00D15B51" w14:paraId="6D65B9CA" w14:textId="55A7C5B8">
            <w:pPr>
              <w:spacing w:after="120"/>
              <w:jc w:val="center"/>
              <w:rPr>
                <w:rFonts w:cs="Times New Roman"/>
                <w:b/>
                <w:color w:val="000000"/>
                <w:kern w:val="0"/>
                <w:szCs w:val="22"/>
              </w:rPr>
            </w:pPr>
            <w:r w:rsidRPr="00074248">
              <w:rPr>
                <w:rFonts w:cs="Times New Roman"/>
                <w:b/>
                <w:color w:val="000000"/>
                <w:kern w:val="0"/>
                <w:szCs w:val="22"/>
              </w:rPr>
              <w:t>197</w:t>
            </w:r>
            <w:r w:rsidR="00736673">
              <w:rPr>
                <w:rFonts w:cs="Times New Roman"/>
                <w:b/>
                <w:color w:val="000000"/>
                <w:kern w:val="0"/>
                <w:szCs w:val="22"/>
              </w:rPr>
              <w:t>04</w:t>
            </w:r>
          </w:p>
        </w:tc>
        <w:tc>
          <w:tcPr>
            <w:tcW w:w="1260" w:type="dxa"/>
            <w:tcBorders>
              <w:top w:val="nil"/>
              <w:left w:val="nil"/>
              <w:bottom w:val="single" w:sz="4" w:space="0" w:color="auto"/>
              <w:right w:val="single" w:sz="4" w:space="0" w:color="auto"/>
            </w:tcBorders>
            <w:shd w:val="clear" w:color="auto" w:fill="C0C0C0"/>
            <w:noWrap/>
            <w:vAlign w:val="bottom"/>
          </w:tcPr>
          <w:p w:rsidR="00D15B51" w:rsidRPr="00074248" w:rsidP="00D15B51" w14:paraId="7295678D" w14:textId="77777777">
            <w:pPr>
              <w:keepNext/>
              <w:keepLines/>
              <w:spacing w:after="120"/>
              <w:jc w:val="center"/>
              <w:rPr>
                <w:rFonts w:cs="Times New Roman"/>
                <w:b/>
                <w:color w:val="000000"/>
                <w:kern w:val="0"/>
                <w:szCs w:val="22"/>
              </w:rPr>
            </w:pPr>
            <w:r w:rsidRPr="00074248">
              <w:rPr>
                <w:rFonts w:cs="Times New Roman"/>
                <w:b/>
                <w:color w:val="000000"/>
                <w:kern w:val="0"/>
                <w:szCs w:val="22"/>
              </w:rPr>
              <w:t>503</w:t>
            </w:r>
          </w:p>
        </w:tc>
        <w:tc>
          <w:tcPr>
            <w:tcW w:w="923" w:type="dxa"/>
            <w:tcBorders>
              <w:top w:val="nil"/>
              <w:left w:val="nil"/>
              <w:bottom w:val="single" w:sz="4" w:space="0" w:color="auto"/>
              <w:right w:val="single" w:sz="4" w:space="0" w:color="auto"/>
            </w:tcBorders>
            <w:shd w:val="clear" w:color="auto" w:fill="C0C0C0"/>
            <w:vAlign w:val="bottom"/>
          </w:tcPr>
          <w:p w:rsidR="00D15B51" w:rsidRPr="00074248" w:rsidP="00D15B51" w14:paraId="68B27F16" w14:textId="77777777">
            <w:pPr>
              <w:keepNext/>
              <w:keepLines/>
              <w:spacing w:after="120"/>
              <w:jc w:val="center"/>
              <w:rPr>
                <w:rFonts w:cs="Times New Roman"/>
                <w:b/>
                <w:color w:val="000000"/>
                <w:kern w:val="0"/>
                <w:szCs w:val="22"/>
              </w:rPr>
            </w:pPr>
            <w:r w:rsidRPr="00074248">
              <w:rPr>
                <w:rFonts w:cs="Times New Roman"/>
                <w:b/>
                <w:color w:val="000000"/>
                <w:kern w:val="0"/>
                <w:szCs w:val="22"/>
              </w:rPr>
              <w:t>2.5%</w:t>
            </w:r>
          </w:p>
        </w:tc>
        <w:tc>
          <w:tcPr>
            <w:tcW w:w="1327" w:type="dxa"/>
            <w:tcBorders>
              <w:top w:val="nil"/>
              <w:left w:val="nil"/>
              <w:bottom w:val="single" w:sz="4" w:space="0" w:color="auto"/>
              <w:right w:val="single" w:sz="4" w:space="0" w:color="auto"/>
            </w:tcBorders>
            <w:shd w:val="clear" w:color="auto" w:fill="C0C0C0"/>
            <w:noWrap/>
            <w:vAlign w:val="bottom"/>
          </w:tcPr>
          <w:p w:rsidR="00D15B51" w:rsidRPr="00074248" w:rsidP="00D15B51" w14:paraId="22C25A5E" w14:textId="77777777">
            <w:pPr>
              <w:keepNext/>
              <w:keepLines/>
              <w:spacing w:after="120"/>
              <w:jc w:val="center"/>
              <w:rPr>
                <w:rFonts w:cs="Times New Roman"/>
                <w:b/>
                <w:color w:val="000000"/>
                <w:kern w:val="0"/>
                <w:szCs w:val="22"/>
              </w:rPr>
            </w:pPr>
            <w:r w:rsidRPr="00074248">
              <w:rPr>
                <w:rFonts w:cs="Times New Roman"/>
                <w:b/>
                <w:color w:val="000000"/>
                <w:kern w:val="0"/>
                <w:szCs w:val="22"/>
              </w:rPr>
              <w:t>1684</w:t>
            </w:r>
          </w:p>
        </w:tc>
        <w:tc>
          <w:tcPr>
            <w:tcW w:w="833" w:type="dxa"/>
            <w:tcBorders>
              <w:top w:val="nil"/>
              <w:left w:val="nil"/>
              <w:bottom w:val="single" w:sz="4" w:space="0" w:color="auto"/>
              <w:right w:val="single" w:sz="4" w:space="0" w:color="auto"/>
            </w:tcBorders>
            <w:shd w:val="clear" w:color="auto" w:fill="C0C0C0"/>
            <w:vAlign w:val="bottom"/>
          </w:tcPr>
          <w:p w:rsidR="00D15B51" w:rsidRPr="00074248" w:rsidP="00D15B51" w14:paraId="151186CB" w14:textId="77777777">
            <w:pPr>
              <w:keepNext/>
              <w:keepLines/>
              <w:spacing w:after="120"/>
              <w:jc w:val="center"/>
              <w:rPr>
                <w:rFonts w:cs="Times New Roman"/>
                <w:b/>
                <w:color w:val="000000"/>
                <w:kern w:val="0"/>
                <w:szCs w:val="22"/>
              </w:rPr>
            </w:pPr>
            <w:r w:rsidRPr="00074248">
              <w:rPr>
                <w:rFonts w:cs="Times New Roman"/>
                <w:b/>
                <w:color w:val="000000"/>
                <w:kern w:val="0"/>
                <w:szCs w:val="22"/>
              </w:rPr>
              <w:t>8.5%</w:t>
            </w:r>
          </w:p>
        </w:tc>
        <w:tc>
          <w:tcPr>
            <w:tcW w:w="1237" w:type="dxa"/>
            <w:tcBorders>
              <w:top w:val="nil"/>
              <w:left w:val="nil"/>
              <w:bottom w:val="single" w:sz="4" w:space="0" w:color="auto"/>
              <w:right w:val="single" w:sz="4" w:space="0" w:color="auto"/>
            </w:tcBorders>
            <w:shd w:val="clear" w:color="auto" w:fill="C0C0C0"/>
            <w:vAlign w:val="bottom"/>
          </w:tcPr>
          <w:p w:rsidR="00D15B51" w:rsidRPr="00074248" w:rsidP="00D15B51" w14:paraId="5C6CC787" w14:textId="1DD79D7A">
            <w:pPr>
              <w:spacing w:after="120"/>
              <w:jc w:val="center"/>
              <w:rPr>
                <w:rFonts w:cs="Times New Roman"/>
                <w:b/>
                <w:kern w:val="0"/>
                <w:szCs w:val="22"/>
              </w:rPr>
            </w:pPr>
            <w:r w:rsidRPr="00074248">
              <w:rPr>
                <w:rFonts w:cs="Times New Roman"/>
                <w:b/>
                <w:kern w:val="0"/>
                <w:szCs w:val="22"/>
              </w:rPr>
              <w:t>175</w:t>
            </w:r>
            <w:r w:rsidR="00736673">
              <w:rPr>
                <w:rFonts w:cs="Times New Roman"/>
                <w:b/>
                <w:kern w:val="0"/>
                <w:szCs w:val="22"/>
              </w:rPr>
              <w:t>16</w:t>
            </w:r>
          </w:p>
        </w:tc>
        <w:tc>
          <w:tcPr>
            <w:tcW w:w="900" w:type="dxa"/>
            <w:tcBorders>
              <w:top w:val="nil"/>
              <w:left w:val="nil"/>
              <w:bottom w:val="single" w:sz="4" w:space="0" w:color="auto"/>
              <w:right w:val="single" w:sz="4" w:space="0" w:color="auto"/>
            </w:tcBorders>
            <w:shd w:val="clear" w:color="auto" w:fill="C0C0C0"/>
            <w:vAlign w:val="bottom"/>
          </w:tcPr>
          <w:p w:rsidR="00D15B51" w:rsidRPr="00074248" w:rsidP="00D15B51" w14:paraId="542F5F35" w14:textId="77777777">
            <w:pPr>
              <w:spacing w:after="120"/>
              <w:jc w:val="center"/>
              <w:rPr>
                <w:rFonts w:cs="Times New Roman"/>
                <w:b/>
                <w:kern w:val="0"/>
                <w:szCs w:val="22"/>
              </w:rPr>
            </w:pPr>
            <w:r w:rsidRPr="00074248">
              <w:rPr>
                <w:rFonts w:cs="Times New Roman"/>
                <w:b/>
                <w:kern w:val="0"/>
                <w:szCs w:val="22"/>
              </w:rPr>
              <w:t>88.9%</w:t>
            </w:r>
          </w:p>
        </w:tc>
      </w:tr>
    </w:tbl>
    <w:p w:rsidR="00DB2ECD" w:rsidRPr="00B57342" w:rsidP="00DB2ECD" w14:paraId="7BF4F64D" w14:textId="77777777">
      <w:pPr>
        <w:spacing w:after="120"/>
        <w:rPr>
          <w:rFonts w:cs="Times New Roman"/>
          <w:szCs w:val="22"/>
        </w:rPr>
      </w:pPr>
    </w:p>
    <w:p w:rsidR="00DB2ECD" w:rsidRPr="00B57342" w:rsidP="00DB2ECD" w14:paraId="7F99D930" w14:textId="77777777">
      <w:pPr>
        <w:spacing w:after="120"/>
        <w:rPr>
          <w:rFonts w:cs="Times New Roman"/>
          <w:b/>
          <w:szCs w:val="22"/>
        </w:rPr>
      </w:pPr>
      <w:r w:rsidRPr="00FE446B">
        <w:rPr>
          <w:rFonts w:cs="Times New Roman"/>
          <w:b/>
          <w:szCs w:val="22"/>
        </w:rPr>
        <w:t>Table 3</w:t>
      </w:r>
      <w:r w:rsidRPr="00B57342">
        <w:rPr>
          <w:rFonts w:cs="Times New Roman"/>
          <w:szCs w:val="22"/>
        </w:rPr>
        <w:t xml:space="preserve"> compares the </w:t>
      </w:r>
      <w:r w:rsidR="00D85444">
        <w:rPr>
          <w:rFonts w:cs="Times New Roman"/>
          <w:szCs w:val="22"/>
        </w:rPr>
        <w:t>filing</w:t>
      </w:r>
      <w:r w:rsidR="00FA68A6">
        <w:rPr>
          <w:rFonts w:cs="Times New Roman"/>
          <w:szCs w:val="22"/>
        </w:rPr>
        <w:t xml:space="preserve"> rate</w:t>
      </w:r>
      <w:r w:rsidRPr="00B57342">
        <w:rPr>
          <w:rFonts w:cs="Times New Roman"/>
          <w:szCs w:val="22"/>
        </w:rPr>
        <w:t xml:space="preserve"> of Low Power broadcasters to that of all broadcasters.</w:t>
      </w:r>
      <w:r>
        <w:rPr>
          <w:rStyle w:val="FootnoteReference"/>
          <w:szCs w:val="22"/>
        </w:rPr>
        <w:footnoteReference w:id="55"/>
      </w:r>
      <w:r w:rsidRPr="00B57342">
        <w:rPr>
          <w:rFonts w:cs="Times New Roman"/>
          <w:szCs w:val="22"/>
        </w:rPr>
        <w:t xml:space="preserve">  LPFM participation in the test (48.</w:t>
      </w:r>
      <w:r w:rsidR="00F20CAA">
        <w:rPr>
          <w:rFonts w:cs="Times New Roman"/>
          <w:szCs w:val="22"/>
        </w:rPr>
        <w:t>4</w:t>
      </w:r>
      <w:r w:rsidRPr="00B57342">
        <w:rPr>
          <w:rFonts w:cs="Times New Roman"/>
          <w:szCs w:val="22"/>
        </w:rPr>
        <w:t>%) was lower than that of radio broadcasters overall (</w:t>
      </w:r>
      <w:r w:rsidR="004C5E91">
        <w:rPr>
          <w:rFonts w:cs="Times New Roman"/>
          <w:szCs w:val="22"/>
        </w:rPr>
        <w:t>78.</w:t>
      </w:r>
      <w:r w:rsidR="00F20CAA">
        <w:rPr>
          <w:rFonts w:cs="Times New Roman"/>
          <w:szCs w:val="22"/>
        </w:rPr>
        <w:t>5</w:t>
      </w:r>
      <w:r w:rsidRPr="00B57342">
        <w:rPr>
          <w:rFonts w:cs="Times New Roman"/>
          <w:szCs w:val="22"/>
        </w:rPr>
        <w:t>%), and LPTV participation (</w:t>
      </w:r>
      <w:r w:rsidR="007A611B">
        <w:rPr>
          <w:rFonts w:cs="Times New Roman"/>
          <w:szCs w:val="22"/>
        </w:rPr>
        <w:t>4</w:t>
      </w:r>
      <w:r w:rsidR="00D15B51">
        <w:rPr>
          <w:rFonts w:cs="Times New Roman"/>
          <w:szCs w:val="22"/>
        </w:rPr>
        <w:t>1</w:t>
      </w:r>
      <w:r w:rsidR="007A611B">
        <w:rPr>
          <w:rFonts w:cs="Times New Roman"/>
          <w:szCs w:val="22"/>
        </w:rPr>
        <w:t>.</w:t>
      </w:r>
      <w:r w:rsidR="00F20CAA">
        <w:rPr>
          <w:rFonts w:cs="Times New Roman"/>
          <w:szCs w:val="22"/>
        </w:rPr>
        <w:t>5</w:t>
      </w:r>
      <w:r w:rsidRPr="00B57342">
        <w:rPr>
          <w:rFonts w:cs="Times New Roman"/>
          <w:color w:val="000000" w:themeColor="text1"/>
          <w:szCs w:val="22"/>
        </w:rPr>
        <w:t xml:space="preserve">%) </w:t>
      </w:r>
      <w:r w:rsidRPr="00B57342">
        <w:rPr>
          <w:rFonts w:cs="Times New Roman"/>
          <w:szCs w:val="22"/>
        </w:rPr>
        <w:t>was</w:t>
      </w:r>
      <w:r w:rsidR="007A611B">
        <w:rPr>
          <w:rFonts w:cs="Times New Roman"/>
          <w:szCs w:val="22"/>
        </w:rPr>
        <w:t xml:space="preserve"> </w:t>
      </w:r>
      <w:r w:rsidRPr="00B57342">
        <w:rPr>
          <w:rFonts w:cs="Times New Roman"/>
          <w:szCs w:val="22"/>
        </w:rPr>
        <w:t xml:space="preserve">lower than that of television broadcasters overall </w:t>
      </w:r>
      <w:r w:rsidRPr="00B57342">
        <w:rPr>
          <w:rFonts w:cs="Times New Roman"/>
          <w:color w:val="000000" w:themeColor="text1"/>
          <w:szCs w:val="22"/>
        </w:rPr>
        <w:t>(6</w:t>
      </w:r>
      <w:r w:rsidR="007A611B">
        <w:rPr>
          <w:rFonts w:cs="Times New Roman"/>
          <w:color w:val="000000" w:themeColor="text1"/>
          <w:szCs w:val="22"/>
        </w:rPr>
        <w:t>5</w:t>
      </w:r>
      <w:r w:rsidRPr="00B57342">
        <w:rPr>
          <w:rFonts w:cs="Times New Roman"/>
          <w:color w:val="000000" w:themeColor="text1"/>
          <w:szCs w:val="22"/>
        </w:rPr>
        <w:t>.</w:t>
      </w:r>
      <w:r w:rsidR="00F20CAA">
        <w:rPr>
          <w:rFonts w:cs="Times New Roman"/>
          <w:color w:val="000000" w:themeColor="text1"/>
          <w:szCs w:val="22"/>
        </w:rPr>
        <w:t>1</w:t>
      </w:r>
      <w:r w:rsidRPr="00B57342">
        <w:rPr>
          <w:rFonts w:cs="Times New Roman"/>
          <w:color w:val="000000" w:themeColor="text1"/>
          <w:szCs w:val="22"/>
        </w:rPr>
        <w:t xml:space="preserve">%).  </w:t>
      </w:r>
      <w:r w:rsidRPr="00B57342">
        <w:rPr>
          <w:rFonts w:cs="Times New Roman"/>
          <w:szCs w:val="22"/>
        </w:rPr>
        <w:t>Further, the low participation rate of Low Power broadcasters appears to have reduced the overall participation rate of all broadcasters.  Of the 3,</w:t>
      </w:r>
      <w:r w:rsidR="00F20CAA">
        <w:rPr>
          <w:rFonts w:cs="Times New Roman"/>
          <w:szCs w:val="22"/>
        </w:rPr>
        <w:t>802</w:t>
      </w:r>
      <w:r w:rsidRPr="00B57342">
        <w:rPr>
          <w:rFonts w:cs="Times New Roman"/>
          <w:szCs w:val="22"/>
        </w:rPr>
        <w:t xml:space="preserve"> radio broadcasters that were expected to file but failed to do so, 1,</w:t>
      </w:r>
      <w:r w:rsidR="00F20CAA">
        <w:rPr>
          <w:rFonts w:cs="Times New Roman"/>
          <w:szCs w:val="22"/>
        </w:rPr>
        <w:t>121</w:t>
      </w:r>
      <w:r w:rsidRPr="00B57342">
        <w:rPr>
          <w:rFonts w:cs="Times New Roman"/>
          <w:szCs w:val="22"/>
        </w:rPr>
        <w:t xml:space="preserve"> were LPFM Broadcasters.  Of the 1,</w:t>
      </w:r>
      <w:r w:rsidR="00F20CAA">
        <w:rPr>
          <w:rFonts w:cs="Times New Roman"/>
          <w:szCs w:val="22"/>
        </w:rPr>
        <w:t>41</w:t>
      </w:r>
      <w:r w:rsidR="00D362E3">
        <w:rPr>
          <w:rFonts w:cs="Times New Roman"/>
          <w:szCs w:val="22"/>
        </w:rPr>
        <w:t>4</w:t>
      </w:r>
      <w:r w:rsidRPr="00B57342">
        <w:rPr>
          <w:rFonts w:cs="Times New Roman"/>
          <w:szCs w:val="22"/>
        </w:rPr>
        <w:t xml:space="preserve"> television broadcasters that were expected to file but failed to do so, </w:t>
      </w:r>
      <w:r w:rsidR="00682F48">
        <w:rPr>
          <w:rFonts w:cs="Times New Roman"/>
          <w:szCs w:val="22"/>
        </w:rPr>
        <w:t xml:space="preserve">1,116 were LPTV broadcasters, up from </w:t>
      </w:r>
      <w:r w:rsidRPr="00B57342">
        <w:rPr>
          <w:rFonts w:cs="Times New Roman"/>
          <w:szCs w:val="22"/>
        </w:rPr>
        <w:t>712</w:t>
      </w:r>
      <w:r w:rsidRPr="00B57342">
        <w:rPr>
          <w:rFonts w:cs="Times New Roman"/>
          <w:color w:val="FF0000"/>
          <w:szCs w:val="22"/>
        </w:rPr>
        <w:t xml:space="preserve"> </w:t>
      </w:r>
      <w:r w:rsidR="00682F48">
        <w:rPr>
          <w:rFonts w:cs="Times New Roman"/>
          <w:szCs w:val="22"/>
        </w:rPr>
        <w:t>in 2017</w:t>
      </w:r>
      <w:r w:rsidRPr="00B57342">
        <w:rPr>
          <w:rFonts w:cs="Times New Roman"/>
          <w:szCs w:val="22"/>
        </w:rPr>
        <w:t>.</w:t>
      </w:r>
      <w:r>
        <w:rPr>
          <w:rStyle w:val="FootnoteReference"/>
          <w:szCs w:val="22"/>
        </w:rPr>
        <w:footnoteReference w:id="56"/>
      </w:r>
      <w:r w:rsidR="00857A20">
        <w:rPr>
          <w:rFonts w:cs="Times New Roman"/>
          <w:szCs w:val="22"/>
        </w:rPr>
        <w:t xml:space="preserve"> </w:t>
      </w:r>
    </w:p>
    <w:p w:rsidR="00DB2ECD" w:rsidRPr="00B57342" w:rsidP="00DB2ECD" w14:paraId="4C2DF1F6" w14:textId="77777777">
      <w:pPr>
        <w:keepNext/>
        <w:keepLines/>
        <w:spacing w:after="120"/>
        <w:rPr>
          <w:rFonts w:cs="Times New Roman"/>
          <w:b/>
          <w:szCs w:val="22"/>
        </w:rPr>
      </w:pPr>
      <w:r w:rsidRPr="00B57342">
        <w:rPr>
          <w:rFonts w:cs="Times New Roman"/>
          <w:b/>
          <w:szCs w:val="22"/>
        </w:rPr>
        <w:t>Table 3. Overview of Filings Received From Broadcasters</w:t>
      </w:r>
    </w:p>
    <w:tbl>
      <w:tblPr>
        <w:tblW w:w="9352" w:type="dxa"/>
        <w:tblInd w:w="93" w:type="dxa"/>
        <w:tblLayout w:type="fixed"/>
        <w:tblCellMar>
          <w:left w:w="86" w:type="dxa"/>
          <w:right w:w="86" w:type="dxa"/>
        </w:tblCellMar>
        <w:tblLook w:val="0000"/>
      </w:tblPr>
      <w:tblGrid>
        <w:gridCol w:w="1343"/>
        <w:gridCol w:w="990"/>
        <w:gridCol w:w="899"/>
        <w:gridCol w:w="1350"/>
        <w:gridCol w:w="721"/>
        <w:gridCol w:w="810"/>
        <w:gridCol w:w="810"/>
        <w:gridCol w:w="810"/>
        <w:gridCol w:w="810"/>
        <w:gridCol w:w="809"/>
      </w:tblGrid>
      <w:tr w14:paraId="59B186E2" w14:textId="77777777" w:rsidTr="0074333B">
        <w:tblPrEx>
          <w:tblW w:w="9352" w:type="dxa"/>
          <w:tblInd w:w="93" w:type="dxa"/>
          <w:tblLayout w:type="fixed"/>
          <w:tblCellMar>
            <w:left w:w="86" w:type="dxa"/>
            <w:right w:w="86" w:type="dxa"/>
          </w:tblCellMar>
          <w:tblLook w:val="0000"/>
        </w:tblPrEx>
        <w:trPr>
          <w:cantSplit/>
          <w:trHeight w:val="238"/>
        </w:trPr>
        <w:tc>
          <w:tcPr>
            <w:tcW w:w="1343" w:type="dxa"/>
            <w:vMerge w:val="restart"/>
            <w:tcBorders>
              <w:top w:val="single" w:sz="4" w:space="0" w:color="auto"/>
              <w:left w:val="single" w:sz="4" w:space="0" w:color="auto"/>
              <w:right w:val="single" w:sz="4" w:space="0" w:color="auto"/>
            </w:tcBorders>
            <w:shd w:val="clear" w:color="auto" w:fill="C0C0C0"/>
            <w:noWrap/>
            <w:vAlign w:val="bottom"/>
          </w:tcPr>
          <w:p w:rsidR="00DB2ECD" w:rsidRPr="00B57342" w:rsidP="00A72609" w14:paraId="19A83706" w14:textId="77777777">
            <w:pPr>
              <w:keepNext/>
              <w:keepLines/>
              <w:spacing w:after="120"/>
              <w:jc w:val="center"/>
              <w:rPr>
                <w:rFonts w:cs="Times New Roman"/>
                <w:b/>
                <w:color w:val="000000"/>
                <w:kern w:val="0"/>
                <w:szCs w:val="22"/>
              </w:rPr>
            </w:pPr>
          </w:p>
        </w:tc>
        <w:tc>
          <w:tcPr>
            <w:tcW w:w="990" w:type="dxa"/>
            <w:tcBorders>
              <w:top w:val="single" w:sz="4" w:space="0" w:color="auto"/>
              <w:left w:val="single" w:sz="4" w:space="0" w:color="auto"/>
              <w:right w:val="single" w:sz="4" w:space="0" w:color="auto"/>
            </w:tcBorders>
            <w:shd w:val="clear" w:color="auto" w:fill="C0C0C0"/>
            <w:vAlign w:val="bottom"/>
          </w:tcPr>
          <w:p w:rsidR="00DB2ECD" w:rsidRPr="00B57342" w:rsidP="00A72609" w14:paraId="65538DAF" w14:textId="77777777">
            <w:pPr>
              <w:keepNext/>
              <w:keepLines/>
              <w:spacing w:after="120"/>
              <w:jc w:val="center"/>
              <w:rPr>
                <w:rFonts w:cs="Times New Roman"/>
                <w:b/>
                <w:color w:val="000000"/>
                <w:kern w:val="0"/>
                <w:szCs w:val="22"/>
              </w:rPr>
            </w:pPr>
          </w:p>
        </w:tc>
        <w:tc>
          <w:tcPr>
            <w:tcW w:w="899" w:type="dxa"/>
            <w:tcBorders>
              <w:top w:val="single" w:sz="4" w:space="0" w:color="auto"/>
              <w:left w:val="single" w:sz="4" w:space="0" w:color="auto"/>
              <w:right w:val="single" w:sz="4" w:space="0" w:color="auto"/>
            </w:tcBorders>
            <w:shd w:val="clear" w:color="auto" w:fill="C0C0C0"/>
            <w:vAlign w:val="bottom"/>
          </w:tcPr>
          <w:p w:rsidR="00DB2ECD" w:rsidRPr="00B57342" w:rsidP="00A72609" w14:paraId="516F6EBB" w14:textId="77777777">
            <w:pPr>
              <w:keepNext/>
              <w:keepLines/>
              <w:spacing w:after="120"/>
              <w:jc w:val="center"/>
              <w:rPr>
                <w:rFonts w:cs="Times New Roman"/>
                <w:b/>
                <w:color w:val="000000"/>
                <w:kern w:val="0"/>
                <w:szCs w:val="22"/>
              </w:rPr>
            </w:pPr>
          </w:p>
        </w:tc>
        <w:tc>
          <w:tcPr>
            <w:tcW w:w="1350" w:type="dxa"/>
            <w:vMerge w:val="restart"/>
            <w:tcBorders>
              <w:top w:val="single" w:sz="4" w:space="0" w:color="auto"/>
              <w:left w:val="single" w:sz="4" w:space="0" w:color="auto"/>
              <w:right w:val="single" w:sz="4" w:space="0" w:color="auto"/>
            </w:tcBorders>
            <w:shd w:val="clear" w:color="auto" w:fill="C0C0C0"/>
            <w:vAlign w:val="bottom"/>
          </w:tcPr>
          <w:p w:rsidR="00030DE6" w:rsidRPr="004F73A2" w:rsidP="00A72609" w14:paraId="3AF7D4F3" w14:textId="77777777">
            <w:pPr>
              <w:keepNext/>
              <w:keepLines/>
              <w:spacing w:after="120"/>
              <w:contextualSpacing/>
              <w:jc w:val="center"/>
              <w:rPr>
                <w:rFonts w:cs="Times New Roman"/>
                <w:b/>
                <w:color w:val="000000"/>
                <w:kern w:val="0"/>
                <w:sz w:val="20"/>
                <w:szCs w:val="20"/>
              </w:rPr>
            </w:pPr>
            <w:r>
              <w:rPr>
                <w:rFonts w:cs="Times New Roman"/>
                <w:b/>
                <w:color w:val="000000"/>
                <w:kern w:val="0"/>
                <w:sz w:val="20"/>
                <w:szCs w:val="20"/>
              </w:rPr>
              <w:t>Filing</w:t>
            </w:r>
          </w:p>
          <w:p w:rsidR="00DB2ECD" w:rsidRPr="00B57342" w:rsidP="00030DE6" w14:paraId="50B14006" w14:textId="77777777">
            <w:pPr>
              <w:keepNext/>
              <w:keepLines/>
              <w:spacing w:after="120"/>
              <w:jc w:val="center"/>
              <w:rPr>
                <w:rFonts w:cs="Times New Roman"/>
                <w:b/>
                <w:color w:val="000000"/>
                <w:kern w:val="0"/>
                <w:szCs w:val="22"/>
              </w:rPr>
            </w:pPr>
            <w:r w:rsidRPr="004F73A2">
              <w:rPr>
                <w:rFonts w:cs="Times New Roman"/>
                <w:b/>
                <w:color w:val="000000"/>
                <w:kern w:val="0"/>
                <w:sz w:val="20"/>
                <w:szCs w:val="20"/>
              </w:rPr>
              <w:t>Rate</w:t>
            </w:r>
          </w:p>
        </w:tc>
        <w:tc>
          <w:tcPr>
            <w:tcW w:w="1531" w:type="dxa"/>
            <w:gridSpan w:val="2"/>
            <w:tcBorders>
              <w:top w:val="single" w:sz="4" w:space="0" w:color="auto"/>
              <w:left w:val="nil"/>
              <w:bottom w:val="single" w:sz="4" w:space="0" w:color="auto"/>
              <w:right w:val="single" w:sz="4" w:space="0" w:color="auto"/>
            </w:tcBorders>
            <w:shd w:val="clear" w:color="auto" w:fill="C0C0C0"/>
            <w:noWrap/>
            <w:vAlign w:val="bottom"/>
          </w:tcPr>
          <w:p w:rsidR="00DB2ECD" w:rsidRPr="00B57342" w:rsidP="00A72609" w14:paraId="3AF2068A" w14:textId="77777777">
            <w:pPr>
              <w:keepNext/>
              <w:keepLines/>
              <w:spacing w:after="120"/>
              <w:jc w:val="center"/>
              <w:rPr>
                <w:rFonts w:cs="Times New Roman"/>
                <w:b/>
                <w:color w:val="000000"/>
                <w:kern w:val="0"/>
                <w:szCs w:val="22"/>
              </w:rPr>
            </w:pPr>
            <w:r w:rsidRPr="00B57342">
              <w:rPr>
                <w:rFonts w:cs="Times New Roman"/>
                <w:b/>
                <w:color w:val="000000"/>
                <w:kern w:val="0"/>
                <w:szCs w:val="22"/>
              </w:rPr>
              <w:t>Form One Filed</w:t>
            </w:r>
          </w:p>
        </w:tc>
        <w:tc>
          <w:tcPr>
            <w:tcW w:w="1620" w:type="dxa"/>
            <w:gridSpan w:val="2"/>
            <w:tcBorders>
              <w:top w:val="single" w:sz="4" w:space="0" w:color="auto"/>
              <w:left w:val="nil"/>
              <w:bottom w:val="single" w:sz="4" w:space="0" w:color="auto"/>
              <w:right w:val="single" w:sz="4" w:space="0" w:color="auto"/>
            </w:tcBorders>
            <w:shd w:val="clear" w:color="auto" w:fill="C0C0C0"/>
            <w:noWrap/>
            <w:vAlign w:val="bottom"/>
          </w:tcPr>
          <w:p w:rsidR="00DB2ECD" w:rsidRPr="00B57342" w:rsidP="00A72609" w14:paraId="71F1A63C" w14:textId="77777777">
            <w:pPr>
              <w:keepNext/>
              <w:keepLines/>
              <w:jc w:val="center"/>
              <w:rPr>
                <w:rFonts w:cs="Times New Roman"/>
                <w:b/>
                <w:color w:val="000000"/>
                <w:kern w:val="0"/>
                <w:szCs w:val="22"/>
              </w:rPr>
            </w:pPr>
            <w:r w:rsidRPr="00B57342">
              <w:rPr>
                <w:rFonts w:cs="Times New Roman"/>
                <w:b/>
                <w:color w:val="000000"/>
                <w:kern w:val="0"/>
                <w:szCs w:val="22"/>
              </w:rPr>
              <w:t xml:space="preserve">Forms One and </w:t>
            </w:r>
          </w:p>
          <w:p w:rsidR="00DB2ECD" w:rsidRPr="00B57342" w:rsidP="00A72609" w14:paraId="5E833E49" w14:textId="77777777">
            <w:pPr>
              <w:keepNext/>
              <w:keepLines/>
              <w:spacing w:after="120"/>
              <w:jc w:val="center"/>
              <w:rPr>
                <w:rFonts w:cs="Times New Roman"/>
                <w:b/>
                <w:color w:val="000000"/>
                <w:kern w:val="0"/>
                <w:szCs w:val="22"/>
              </w:rPr>
            </w:pPr>
            <w:r w:rsidRPr="00B57342">
              <w:rPr>
                <w:rFonts w:cs="Times New Roman"/>
                <w:b/>
                <w:color w:val="000000"/>
                <w:kern w:val="0"/>
                <w:szCs w:val="22"/>
              </w:rPr>
              <w:t>Two Filed</w:t>
            </w:r>
          </w:p>
        </w:tc>
        <w:tc>
          <w:tcPr>
            <w:tcW w:w="1619" w:type="dxa"/>
            <w:gridSpan w:val="2"/>
            <w:tcBorders>
              <w:top w:val="single" w:sz="4" w:space="0" w:color="auto"/>
              <w:left w:val="nil"/>
              <w:bottom w:val="single" w:sz="4" w:space="0" w:color="auto"/>
              <w:right w:val="single" w:sz="4" w:space="0" w:color="auto"/>
            </w:tcBorders>
            <w:shd w:val="clear" w:color="auto" w:fill="C0C0C0"/>
            <w:vAlign w:val="bottom"/>
          </w:tcPr>
          <w:p w:rsidR="00DB2ECD" w:rsidRPr="00B57342" w:rsidP="00A72609" w14:paraId="6BF96556" w14:textId="77777777">
            <w:pPr>
              <w:keepNext/>
              <w:keepLines/>
              <w:spacing w:after="120"/>
              <w:jc w:val="center"/>
              <w:rPr>
                <w:rFonts w:cs="Times New Roman"/>
                <w:b/>
                <w:color w:val="000000"/>
                <w:kern w:val="0"/>
                <w:szCs w:val="22"/>
              </w:rPr>
            </w:pPr>
            <w:r w:rsidRPr="00B57342">
              <w:rPr>
                <w:rFonts w:cs="Times New Roman"/>
                <w:b/>
                <w:color w:val="000000"/>
                <w:kern w:val="0"/>
                <w:szCs w:val="22"/>
              </w:rPr>
              <w:t>Forms One, Two, and Three Filed</w:t>
            </w:r>
          </w:p>
        </w:tc>
      </w:tr>
      <w:tr w14:paraId="53E87149" w14:textId="77777777" w:rsidTr="0074333B">
        <w:tblPrEx>
          <w:tblW w:w="9352" w:type="dxa"/>
          <w:tblInd w:w="93" w:type="dxa"/>
          <w:tblLayout w:type="fixed"/>
          <w:tblCellMar>
            <w:left w:w="86" w:type="dxa"/>
            <w:right w:w="86" w:type="dxa"/>
          </w:tblCellMar>
          <w:tblLook w:val="0000"/>
        </w:tblPrEx>
        <w:trPr>
          <w:cantSplit/>
          <w:trHeight w:val="253"/>
        </w:trPr>
        <w:tc>
          <w:tcPr>
            <w:tcW w:w="1343" w:type="dxa"/>
            <w:vMerge/>
            <w:tcBorders>
              <w:left w:val="single" w:sz="4" w:space="0" w:color="auto"/>
              <w:bottom w:val="single" w:sz="4" w:space="0" w:color="auto"/>
              <w:right w:val="single" w:sz="4" w:space="0" w:color="auto"/>
            </w:tcBorders>
            <w:shd w:val="clear" w:color="000000" w:fill="C0C0C0"/>
            <w:noWrap/>
            <w:vAlign w:val="bottom"/>
          </w:tcPr>
          <w:p w:rsidR="00DB2ECD" w:rsidRPr="00B57342" w:rsidP="00A72609" w14:paraId="0A9062A6" w14:textId="77777777">
            <w:pPr>
              <w:keepNext/>
              <w:keepLines/>
              <w:spacing w:after="120"/>
              <w:jc w:val="center"/>
              <w:rPr>
                <w:rFonts w:cs="Times New Roman"/>
                <w:b/>
                <w:color w:val="000000"/>
                <w:kern w:val="0"/>
                <w:szCs w:val="22"/>
              </w:rPr>
            </w:pPr>
          </w:p>
        </w:tc>
        <w:tc>
          <w:tcPr>
            <w:tcW w:w="990" w:type="dxa"/>
            <w:tcBorders>
              <w:left w:val="single" w:sz="4" w:space="0" w:color="auto"/>
              <w:bottom w:val="single" w:sz="4" w:space="0" w:color="auto"/>
              <w:right w:val="single" w:sz="4" w:space="0" w:color="auto"/>
            </w:tcBorders>
            <w:shd w:val="clear" w:color="000000" w:fill="C0C0C0"/>
            <w:vAlign w:val="bottom"/>
          </w:tcPr>
          <w:p w:rsidR="00DB2ECD" w:rsidRPr="004F73A2" w:rsidP="00A72609" w14:paraId="602525E9" w14:textId="77777777">
            <w:pPr>
              <w:keepNext/>
              <w:keepLines/>
              <w:spacing w:after="120"/>
              <w:jc w:val="center"/>
              <w:rPr>
                <w:rFonts w:cs="Times New Roman"/>
                <w:b/>
                <w:color w:val="000000"/>
                <w:kern w:val="0"/>
                <w:sz w:val="20"/>
                <w:szCs w:val="20"/>
              </w:rPr>
            </w:pPr>
            <w:r w:rsidRPr="004F73A2">
              <w:rPr>
                <w:rFonts w:cs="Times New Roman"/>
                <w:b/>
                <w:color w:val="000000"/>
                <w:kern w:val="0"/>
                <w:sz w:val="20"/>
                <w:szCs w:val="20"/>
              </w:rPr>
              <w:t>Filers Expected</w:t>
            </w:r>
          </w:p>
        </w:tc>
        <w:tc>
          <w:tcPr>
            <w:tcW w:w="899" w:type="dxa"/>
            <w:tcBorders>
              <w:left w:val="single" w:sz="4" w:space="0" w:color="auto"/>
              <w:bottom w:val="single" w:sz="4" w:space="0" w:color="auto"/>
              <w:right w:val="single" w:sz="4" w:space="0" w:color="auto"/>
            </w:tcBorders>
            <w:shd w:val="clear" w:color="000000" w:fill="C0C0C0"/>
            <w:vAlign w:val="bottom"/>
          </w:tcPr>
          <w:p w:rsidR="00DB2ECD" w:rsidRPr="004F73A2" w:rsidP="00091DBB" w14:paraId="0C2C50E9" w14:textId="77777777">
            <w:pPr>
              <w:keepNext/>
              <w:keepLines/>
              <w:spacing w:after="120"/>
              <w:jc w:val="center"/>
              <w:rPr>
                <w:rFonts w:cs="Times New Roman"/>
                <w:b/>
                <w:color w:val="000000"/>
                <w:kern w:val="0"/>
                <w:sz w:val="20"/>
                <w:szCs w:val="20"/>
              </w:rPr>
            </w:pPr>
            <w:r w:rsidRPr="004F73A2">
              <w:rPr>
                <w:rFonts w:cs="Times New Roman"/>
                <w:b/>
                <w:color w:val="000000"/>
                <w:kern w:val="0"/>
                <w:sz w:val="20"/>
                <w:szCs w:val="20"/>
              </w:rPr>
              <w:t xml:space="preserve"> Filings</w:t>
            </w:r>
            <w:r w:rsidR="000B2A2F">
              <w:rPr>
                <w:rFonts w:cs="Times New Roman"/>
                <w:b/>
                <w:color w:val="000000"/>
                <w:kern w:val="0"/>
                <w:sz w:val="20"/>
                <w:szCs w:val="20"/>
              </w:rPr>
              <w:t xml:space="preserve"> Rec’d</w:t>
            </w:r>
            <w:r>
              <w:rPr>
                <w:rStyle w:val="FootnoteReference"/>
                <w:b/>
                <w:kern w:val="0"/>
                <w:szCs w:val="20"/>
              </w:rPr>
              <w:footnoteReference w:id="57"/>
            </w:r>
          </w:p>
        </w:tc>
        <w:tc>
          <w:tcPr>
            <w:tcW w:w="1350" w:type="dxa"/>
            <w:vMerge/>
            <w:tcBorders>
              <w:left w:val="single" w:sz="4" w:space="0" w:color="auto"/>
              <w:bottom w:val="single" w:sz="4" w:space="0" w:color="auto"/>
              <w:right w:val="single" w:sz="4" w:space="0" w:color="auto"/>
            </w:tcBorders>
            <w:shd w:val="clear" w:color="000000" w:fill="C0C0C0"/>
            <w:vAlign w:val="bottom"/>
          </w:tcPr>
          <w:p w:rsidR="00DB2ECD" w:rsidRPr="00B57342" w:rsidP="00A72609" w14:paraId="1B28B863" w14:textId="77777777">
            <w:pPr>
              <w:keepNext/>
              <w:keepLines/>
              <w:spacing w:after="120"/>
              <w:jc w:val="center"/>
              <w:rPr>
                <w:rFonts w:cs="Times New Roman"/>
                <w:b/>
                <w:color w:val="000000"/>
                <w:kern w:val="0"/>
                <w:szCs w:val="22"/>
              </w:rPr>
            </w:pPr>
          </w:p>
        </w:tc>
        <w:tc>
          <w:tcPr>
            <w:tcW w:w="721" w:type="dxa"/>
            <w:tcBorders>
              <w:top w:val="nil"/>
              <w:left w:val="nil"/>
              <w:bottom w:val="single" w:sz="4" w:space="0" w:color="auto"/>
              <w:right w:val="single" w:sz="4" w:space="0" w:color="auto"/>
            </w:tcBorders>
            <w:shd w:val="clear" w:color="000000" w:fill="C0C0C0"/>
            <w:noWrap/>
            <w:vAlign w:val="bottom"/>
          </w:tcPr>
          <w:p w:rsidR="00DB2ECD" w:rsidRPr="004F73A2" w:rsidP="00091DBB" w14:paraId="04367B38" w14:textId="77777777">
            <w:pPr>
              <w:keepNext/>
              <w:keepLines/>
              <w:spacing w:after="120"/>
              <w:jc w:val="center"/>
              <w:rPr>
                <w:rFonts w:cs="Times New Roman"/>
                <w:b/>
                <w:color w:val="000000"/>
                <w:kern w:val="0"/>
                <w:sz w:val="20"/>
                <w:szCs w:val="20"/>
              </w:rPr>
            </w:pPr>
            <w:r w:rsidRPr="004F73A2">
              <w:rPr>
                <w:rFonts w:cs="Times New Roman"/>
                <w:b/>
                <w:color w:val="000000"/>
                <w:kern w:val="0"/>
                <w:sz w:val="20"/>
                <w:szCs w:val="20"/>
              </w:rPr>
              <w:t xml:space="preserve"> </w:t>
            </w:r>
            <w:r w:rsidR="000B2A2F">
              <w:rPr>
                <w:rFonts w:cs="Times New Roman"/>
                <w:b/>
                <w:color w:val="000000"/>
                <w:kern w:val="0"/>
                <w:sz w:val="20"/>
                <w:szCs w:val="20"/>
              </w:rPr>
              <w:t>#</w:t>
            </w:r>
          </w:p>
        </w:tc>
        <w:tc>
          <w:tcPr>
            <w:tcW w:w="810" w:type="dxa"/>
            <w:tcBorders>
              <w:top w:val="nil"/>
              <w:left w:val="nil"/>
              <w:bottom w:val="single" w:sz="4" w:space="0" w:color="auto"/>
              <w:right w:val="single" w:sz="4" w:space="0" w:color="auto"/>
            </w:tcBorders>
            <w:shd w:val="clear" w:color="000000" w:fill="C0C0C0"/>
            <w:noWrap/>
            <w:vAlign w:val="bottom"/>
          </w:tcPr>
          <w:p w:rsidR="00DB2ECD" w:rsidRPr="00B57342" w:rsidP="00A72609" w14:paraId="3921D13C" w14:textId="77777777">
            <w:pPr>
              <w:keepNext/>
              <w:keepLines/>
              <w:spacing w:after="120"/>
              <w:jc w:val="center"/>
              <w:rPr>
                <w:rFonts w:cs="Times New Roman"/>
                <w:b/>
                <w:color w:val="000000"/>
                <w:kern w:val="0"/>
                <w:szCs w:val="22"/>
              </w:rPr>
            </w:pPr>
            <w:r w:rsidRPr="00B57342">
              <w:rPr>
                <w:rFonts w:cs="Times New Roman"/>
                <w:b/>
                <w:color w:val="000000"/>
                <w:kern w:val="0"/>
                <w:szCs w:val="22"/>
              </w:rPr>
              <w:t>%</w:t>
            </w:r>
          </w:p>
        </w:tc>
        <w:tc>
          <w:tcPr>
            <w:tcW w:w="810" w:type="dxa"/>
            <w:tcBorders>
              <w:top w:val="nil"/>
              <w:left w:val="nil"/>
              <w:bottom w:val="single" w:sz="4" w:space="0" w:color="auto"/>
              <w:right w:val="single" w:sz="4" w:space="0" w:color="auto"/>
            </w:tcBorders>
            <w:shd w:val="clear" w:color="000000" w:fill="C0C0C0"/>
            <w:noWrap/>
            <w:vAlign w:val="bottom"/>
          </w:tcPr>
          <w:p w:rsidR="00DB2ECD" w:rsidRPr="004F73A2" w:rsidP="00091DBB" w14:paraId="6164C5FC" w14:textId="77777777">
            <w:pPr>
              <w:keepNext/>
              <w:keepLines/>
              <w:spacing w:after="120"/>
              <w:jc w:val="center"/>
              <w:rPr>
                <w:rFonts w:cs="Times New Roman"/>
                <w:b/>
                <w:color w:val="000000"/>
                <w:kern w:val="0"/>
                <w:sz w:val="20"/>
                <w:szCs w:val="20"/>
              </w:rPr>
            </w:pPr>
            <w:r w:rsidRPr="004F73A2">
              <w:rPr>
                <w:rFonts w:cs="Times New Roman"/>
                <w:b/>
                <w:color w:val="000000"/>
                <w:kern w:val="0"/>
                <w:sz w:val="20"/>
                <w:szCs w:val="20"/>
              </w:rPr>
              <w:t xml:space="preserve"> </w:t>
            </w:r>
            <w:r w:rsidR="000B2A2F">
              <w:rPr>
                <w:rFonts w:cs="Times New Roman"/>
                <w:b/>
                <w:color w:val="000000"/>
                <w:kern w:val="0"/>
                <w:sz w:val="20"/>
                <w:szCs w:val="20"/>
              </w:rPr>
              <w:t>#</w:t>
            </w:r>
          </w:p>
        </w:tc>
        <w:tc>
          <w:tcPr>
            <w:tcW w:w="810" w:type="dxa"/>
            <w:tcBorders>
              <w:top w:val="nil"/>
              <w:left w:val="nil"/>
              <w:bottom w:val="single" w:sz="4" w:space="0" w:color="auto"/>
              <w:right w:val="single" w:sz="4" w:space="0" w:color="auto"/>
            </w:tcBorders>
            <w:shd w:val="clear" w:color="000000" w:fill="C0C0C0"/>
            <w:noWrap/>
            <w:vAlign w:val="bottom"/>
          </w:tcPr>
          <w:p w:rsidR="00DB2ECD" w:rsidRPr="00B57342" w:rsidP="00A72609" w14:paraId="720C308E" w14:textId="77777777">
            <w:pPr>
              <w:keepNext/>
              <w:keepLines/>
              <w:spacing w:after="120"/>
              <w:jc w:val="center"/>
              <w:rPr>
                <w:rFonts w:cs="Times New Roman"/>
                <w:b/>
                <w:color w:val="000000"/>
                <w:kern w:val="0"/>
                <w:szCs w:val="22"/>
              </w:rPr>
            </w:pPr>
            <w:r w:rsidRPr="00B57342">
              <w:rPr>
                <w:rFonts w:cs="Times New Roman"/>
                <w:b/>
                <w:color w:val="000000"/>
                <w:kern w:val="0"/>
                <w:szCs w:val="22"/>
              </w:rPr>
              <w:t>%</w:t>
            </w:r>
          </w:p>
        </w:tc>
        <w:tc>
          <w:tcPr>
            <w:tcW w:w="810" w:type="dxa"/>
            <w:tcBorders>
              <w:top w:val="nil"/>
              <w:left w:val="nil"/>
              <w:bottom w:val="single" w:sz="4" w:space="0" w:color="auto"/>
              <w:right w:val="single" w:sz="4" w:space="0" w:color="auto"/>
            </w:tcBorders>
            <w:shd w:val="clear" w:color="000000" w:fill="C0C0C0"/>
            <w:noWrap/>
            <w:vAlign w:val="bottom"/>
          </w:tcPr>
          <w:p w:rsidR="00DB2ECD" w:rsidRPr="004F73A2" w:rsidP="00091DBB" w14:paraId="58AFB9E3" w14:textId="77777777">
            <w:pPr>
              <w:keepNext/>
              <w:keepLines/>
              <w:spacing w:after="120"/>
              <w:jc w:val="center"/>
              <w:rPr>
                <w:rFonts w:cs="Times New Roman"/>
                <w:b/>
                <w:color w:val="000000"/>
                <w:kern w:val="0"/>
                <w:sz w:val="20"/>
                <w:szCs w:val="20"/>
              </w:rPr>
            </w:pPr>
            <w:r w:rsidRPr="004F73A2">
              <w:rPr>
                <w:rFonts w:cs="Times New Roman"/>
                <w:b/>
                <w:color w:val="000000"/>
                <w:kern w:val="0"/>
                <w:sz w:val="20"/>
                <w:szCs w:val="20"/>
              </w:rPr>
              <w:t xml:space="preserve"> </w:t>
            </w:r>
            <w:r w:rsidR="000B2A2F">
              <w:rPr>
                <w:rFonts w:cs="Times New Roman"/>
                <w:b/>
                <w:color w:val="000000"/>
                <w:kern w:val="0"/>
                <w:sz w:val="20"/>
                <w:szCs w:val="20"/>
              </w:rPr>
              <w:t>#</w:t>
            </w:r>
          </w:p>
        </w:tc>
        <w:tc>
          <w:tcPr>
            <w:tcW w:w="809" w:type="dxa"/>
            <w:tcBorders>
              <w:top w:val="nil"/>
              <w:left w:val="nil"/>
              <w:bottom w:val="single" w:sz="4" w:space="0" w:color="auto"/>
              <w:right w:val="single" w:sz="4" w:space="0" w:color="auto"/>
            </w:tcBorders>
            <w:shd w:val="clear" w:color="000000" w:fill="C0C0C0"/>
            <w:noWrap/>
            <w:vAlign w:val="bottom"/>
          </w:tcPr>
          <w:p w:rsidR="00DB2ECD" w:rsidRPr="00B57342" w:rsidP="00A72609" w14:paraId="687B0E82" w14:textId="77777777">
            <w:pPr>
              <w:keepNext/>
              <w:keepLines/>
              <w:spacing w:after="120"/>
              <w:jc w:val="center"/>
              <w:rPr>
                <w:rFonts w:cs="Times New Roman"/>
                <w:b/>
                <w:color w:val="000000"/>
                <w:kern w:val="0"/>
                <w:szCs w:val="22"/>
              </w:rPr>
            </w:pPr>
            <w:r w:rsidRPr="00B57342">
              <w:rPr>
                <w:rFonts w:cs="Times New Roman"/>
                <w:b/>
                <w:color w:val="000000"/>
                <w:kern w:val="0"/>
                <w:szCs w:val="22"/>
              </w:rPr>
              <w:t>%</w:t>
            </w:r>
          </w:p>
        </w:tc>
      </w:tr>
      <w:tr w14:paraId="2CFE7D17" w14:textId="77777777" w:rsidTr="0074333B">
        <w:tblPrEx>
          <w:tblW w:w="9352" w:type="dxa"/>
          <w:tblInd w:w="93" w:type="dxa"/>
          <w:tblLayout w:type="fixed"/>
          <w:tblCellMar>
            <w:left w:w="86" w:type="dxa"/>
            <w:right w:w="86" w:type="dxa"/>
          </w:tblCellMar>
          <w:tblLook w:val="0000"/>
        </w:tblPrEx>
        <w:trPr>
          <w:cantSplit/>
          <w:trHeight w:val="253"/>
        </w:trPr>
        <w:tc>
          <w:tcPr>
            <w:tcW w:w="1343" w:type="dxa"/>
            <w:tcBorders>
              <w:top w:val="nil"/>
              <w:left w:val="single" w:sz="4" w:space="0" w:color="auto"/>
              <w:bottom w:val="single" w:sz="4" w:space="0" w:color="auto"/>
              <w:right w:val="single" w:sz="4" w:space="0" w:color="auto"/>
            </w:tcBorders>
            <w:vAlign w:val="bottom"/>
          </w:tcPr>
          <w:p w:rsidR="00160258" w:rsidRPr="00B57342" w:rsidP="00160258" w14:paraId="174ED21E" w14:textId="77777777">
            <w:pPr>
              <w:keepNext/>
              <w:keepLines/>
              <w:spacing w:after="120"/>
              <w:jc w:val="right"/>
              <w:rPr>
                <w:rFonts w:cs="Times New Roman"/>
                <w:bCs w:val="0"/>
                <w:color w:val="000000"/>
                <w:kern w:val="0"/>
                <w:szCs w:val="22"/>
              </w:rPr>
            </w:pPr>
            <w:r w:rsidRPr="00B57342">
              <w:rPr>
                <w:rFonts w:cs="Times New Roman"/>
                <w:bCs w:val="0"/>
                <w:color w:val="000000"/>
                <w:kern w:val="0"/>
                <w:szCs w:val="22"/>
              </w:rPr>
              <w:t>All Radio Broadcasters</w:t>
            </w:r>
          </w:p>
        </w:tc>
        <w:tc>
          <w:tcPr>
            <w:tcW w:w="990" w:type="dxa"/>
            <w:tcBorders>
              <w:top w:val="nil"/>
              <w:left w:val="single" w:sz="4" w:space="0" w:color="auto"/>
              <w:bottom w:val="single" w:sz="4" w:space="0" w:color="auto"/>
              <w:right w:val="single" w:sz="4" w:space="0" w:color="auto"/>
            </w:tcBorders>
            <w:vAlign w:val="bottom"/>
          </w:tcPr>
          <w:p w:rsidR="00160258" w:rsidRPr="007A611B" w:rsidP="00160258" w14:paraId="45DF7F26" w14:textId="77777777">
            <w:pPr>
              <w:keepNext/>
              <w:keepLines/>
              <w:spacing w:after="120"/>
              <w:jc w:val="center"/>
              <w:rPr>
                <w:rFonts w:cs="Times New Roman"/>
                <w:bCs w:val="0"/>
                <w:color w:val="FF0000"/>
                <w:kern w:val="0"/>
                <w:szCs w:val="22"/>
              </w:rPr>
            </w:pPr>
            <w:r w:rsidRPr="007A611B">
              <w:rPr>
                <w:rFonts w:cs="Times New Roman"/>
                <w:bCs w:val="0"/>
                <w:color w:val="000000" w:themeColor="text1"/>
                <w:kern w:val="0"/>
                <w:szCs w:val="22"/>
              </w:rPr>
              <w:t>17</w:t>
            </w:r>
            <w:r w:rsidRPr="007A611B" w:rsidR="007D0490">
              <w:rPr>
                <w:rFonts w:cs="Times New Roman"/>
                <w:bCs w:val="0"/>
                <w:color w:val="000000" w:themeColor="text1"/>
                <w:kern w:val="0"/>
                <w:szCs w:val="22"/>
              </w:rPr>
              <w:t>6</w:t>
            </w:r>
            <w:r w:rsidRPr="007A611B">
              <w:rPr>
                <w:rFonts w:cs="Times New Roman"/>
                <w:bCs w:val="0"/>
                <w:color w:val="000000" w:themeColor="text1"/>
                <w:kern w:val="0"/>
                <w:szCs w:val="22"/>
              </w:rPr>
              <w:t>80</w:t>
            </w:r>
          </w:p>
        </w:tc>
        <w:tc>
          <w:tcPr>
            <w:tcW w:w="899" w:type="dxa"/>
            <w:tcBorders>
              <w:top w:val="nil"/>
              <w:left w:val="single" w:sz="4" w:space="0" w:color="auto"/>
              <w:bottom w:val="single" w:sz="4" w:space="0" w:color="auto"/>
              <w:right w:val="single" w:sz="4" w:space="0" w:color="auto"/>
            </w:tcBorders>
            <w:vAlign w:val="bottom"/>
          </w:tcPr>
          <w:p w:rsidR="00160258" w:rsidRPr="0025046B" w:rsidP="00160258" w14:paraId="2A1D9BC3"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13</w:t>
            </w:r>
            <w:r w:rsidRPr="0025046B" w:rsidR="008C7344">
              <w:rPr>
                <w:rFonts w:cs="Times New Roman"/>
                <w:bCs w:val="0"/>
                <w:color w:val="000000"/>
                <w:kern w:val="0"/>
                <w:szCs w:val="22"/>
              </w:rPr>
              <w:t>878</w:t>
            </w:r>
          </w:p>
        </w:tc>
        <w:tc>
          <w:tcPr>
            <w:tcW w:w="1350" w:type="dxa"/>
            <w:tcBorders>
              <w:top w:val="nil"/>
              <w:left w:val="single" w:sz="4" w:space="0" w:color="auto"/>
              <w:bottom w:val="single" w:sz="4" w:space="0" w:color="auto"/>
              <w:right w:val="single" w:sz="4" w:space="0" w:color="auto"/>
            </w:tcBorders>
            <w:vAlign w:val="bottom"/>
          </w:tcPr>
          <w:p w:rsidR="00160258" w:rsidRPr="0025046B" w:rsidP="00160258" w14:paraId="4CED6234" w14:textId="77777777">
            <w:pPr>
              <w:keepNext/>
              <w:keepLines/>
              <w:spacing w:after="120"/>
              <w:jc w:val="center"/>
              <w:rPr>
                <w:rFonts w:cs="Times New Roman"/>
                <w:bCs w:val="0"/>
                <w:color w:val="FF0000"/>
                <w:kern w:val="0"/>
                <w:szCs w:val="22"/>
              </w:rPr>
            </w:pPr>
            <w:r w:rsidRPr="0025046B">
              <w:rPr>
                <w:rFonts w:cs="Times New Roman"/>
                <w:bCs w:val="0"/>
                <w:kern w:val="0"/>
                <w:szCs w:val="22"/>
              </w:rPr>
              <w:t>78.</w:t>
            </w:r>
            <w:r w:rsidRPr="0025046B" w:rsidR="004720B2">
              <w:rPr>
                <w:rFonts w:cs="Times New Roman"/>
                <w:bCs w:val="0"/>
                <w:kern w:val="0"/>
                <w:szCs w:val="22"/>
              </w:rPr>
              <w:t>5</w:t>
            </w:r>
            <w:r w:rsidRPr="0025046B">
              <w:rPr>
                <w:rFonts w:cs="Times New Roman"/>
                <w:bCs w:val="0"/>
                <w:kern w:val="0"/>
                <w:szCs w:val="22"/>
              </w:rPr>
              <w:t>%</w:t>
            </w:r>
          </w:p>
        </w:tc>
        <w:tc>
          <w:tcPr>
            <w:tcW w:w="721" w:type="dxa"/>
            <w:tcBorders>
              <w:top w:val="nil"/>
              <w:left w:val="nil"/>
              <w:bottom w:val="single" w:sz="4" w:space="0" w:color="auto"/>
              <w:right w:val="single" w:sz="4" w:space="0" w:color="auto"/>
            </w:tcBorders>
            <w:vAlign w:val="bottom"/>
          </w:tcPr>
          <w:p w:rsidR="00160258" w:rsidRPr="0025046B" w:rsidP="00160258" w14:paraId="49DD40FA"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443</w:t>
            </w:r>
          </w:p>
        </w:tc>
        <w:tc>
          <w:tcPr>
            <w:tcW w:w="810" w:type="dxa"/>
            <w:tcBorders>
              <w:top w:val="nil"/>
              <w:left w:val="nil"/>
              <w:bottom w:val="single" w:sz="4" w:space="0" w:color="auto"/>
              <w:right w:val="single" w:sz="4" w:space="0" w:color="auto"/>
            </w:tcBorders>
            <w:vAlign w:val="bottom"/>
          </w:tcPr>
          <w:p w:rsidR="00160258" w:rsidRPr="0025046B" w:rsidP="00160258" w14:paraId="481299BA" w14:textId="77777777">
            <w:pPr>
              <w:keepNext/>
              <w:keepLines/>
              <w:spacing w:after="120"/>
              <w:jc w:val="center"/>
              <w:rPr>
                <w:rFonts w:cs="Times New Roman"/>
                <w:bCs w:val="0"/>
                <w:color w:val="FF0000"/>
                <w:kern w:val="0"/>
                <w:szCs w:val="22"/>
              </w:rPr>
            </w:pPr>
            <w:r w:rsidRPr="0025046B">
              <w:rPr>
                <w:rFonts w:cs="Times New Roman"/>
                <w:bCs w:val="0"/>
                <w:kern w:val="0"/>
                <w:szCs w:val="22"/>
              </w:rPr>
              <w:t>3.2</w:t>
            </w:r>
            <w:r w:rsidRPr="0025046B" w:rsidR="00033051">
              <w:rPr>
                <w:rFonts w:cs="Times New Roman"/>
                <w:bCs w:val="0"/>
                <w:kern w:val="0"/>
                <w:szCs w:val="22"/>
              </w:rPr>
              <w:t>%</w:t>
            </w:r>
          </w:p>
        </w:tc>
        <w:tc>
          <w:tcPr>
            <w:tcW w:w="810" w:type="dxa"/>
            <w:tcBorders>
              <w:top w:val="nil"/>
              <w:left w:val="nil"/>
              <w:bottom w:val="single" w:sz="4" w:space="0" w:color="auto"/>
              <w:right w:val="single" w:sz="4" w:space="0" w:color="auto"/>
            </w:tcBorders>
            <w:vAlign w:val="bottom"/>
          </w:tcPr>
          <w:p w:rsidR="00160258" w:rsidRPr="0025046B" w:rsidP="00160258" w14:paraId="0CA0456C"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1</w:t>
            </w:r>
            <w:r w:rsidRPr="0025046B" w:rsidR="00460199">
              <w:rPr>
                <w:rFonts w:cs="Times New Roman"/>
                <w:bCs w:val="0"/>
                <w:color w:val="000000"/>
                <w:kern w:val="0"/>
                <w:szCs w:val="22"/>
              </w:rPr>
              <w:t>339</w:t>
            </w:r>
          </w:p>
        </w:tc>
        <w:tc>
          <w:tcPr>
            <w:tcW w:w="810" w:type="dxa"/>
            <w:tcBorders>
              <w:top w:val="nil"/>
              <w:left w:val="nil"/>
              <w:bottom w:val="single" w:sz="4" w:space="0" w:color="auto"/>
              <w:right w:val="single" w:sz="4" w:space="0" w:color="auto"/>
            </w:tcBorders>
            <w:vAlign w:val="bottom"/>
          </w:tcPr>
          <w:p w:rsidR="00160258" w:rsidRPr="0025046B" w:rsidP="00160258" w14:paraId="7B93F355" w14:textId="77777777">
            <w:pPr>
              <w:keepNext/>
              <w:keepLines/>
              <w:spacing w:after="120"/>
              <w:jc w:val="center"/>
              <w:rPr>
                <w:rFonts w:cs="Times New Roman"/>
                <w:bCs w:val="0"/>
                <w:color w:val="000000"/>
                <w:kern w:val="0"/>
                <w:szCs w:val="22"/>
              </w:rPr>
            </w:pPr>
            <w:r w:rsidRPr="0025046B">
              <w:rPr>
                <w:rFonts w:cs="Times New Roman"/>
                <w:bCs w:val="0"/>
                <w:kern w:val="0"/>
                <w:szCs w:val="22"/>
              </w:rPr>
              <w:t>9.6</w:t>
            </w:r>
            <w:r w:rsidRPr="0025046B" w:rsidR="00033051">
              <w:rPr>
                <w:rFonts w:cs="Times New Roman"/>
                <w:bCs w:val="0"/>
                <w:kern w:val="0"/>
                <w:szCs w:val="22"/>
              </w:rPr>
              <w:t>%</w:t>
            </w:r>
          </w:p>
        </w:tc>
        <w:tc>
          <w:tcPr>
            <w:tcW w:w="810" w:type="dxa"/>
            <w:tcBorders>
              <w:top w:val="nil"/>
              <w:left w:val="nil"/>
              <w:bottom w:val="single" w:sz="4" w:space="0" w:color="auto"/>
              <w:right w:val="single" w:sz="4" w:space="0" w:color="auto"/>
            </w:tcBorders>
            <w:vAlign w:val="bottom"/>
          </w:tcPr>
          <w:p w:rsidR="00160258" w:rsidRPr="0025046B" w:rsidP="00160258" w14:paraId="75EAFF6F"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1</w:t>
            </w:r>
            <w:r w:rsidRPr="0025046B" w:rsidR="00460199">
              <w:rPr>
                <w:rFonts w:cs="Times New Roman"/>
                <w:bCs w:val="0"/>
                <w:color w:val="000000"/>
                <w:kern w:val="0"/>
                <w:szCs w:val="22"/>
              </w:rPr>
              <w:t>2</w:t>
            </w:r>
            <w:r w:rsidRPr="0025046B" w:rsidR="007A611B">
              <w:rPr>
                <w:rFonts w:cs="Times New Roman"/>
                <w:bCs w:val="0"/>
                <w:color w:val="000000"/>
                <w:kern w:val="0"/>
                <w:szCs w:val="22"/>
              </w:rPr>
              <w:t>096</w:t>
            </w:r>
          </w:p>
        </w:tc>
        <w:tc>
          <w:tcPr>
            <w:tcW w:w="809" w:type="dxa"/>
            <w:tcBorders>
              <w:top w:val="nil"/>
              <w:left w:val="nil"/>
              <w:bottom w:val="single" w:sz="4" w:space="0" w:color="auto"/>
              <w:right w:val="single" w:sz="4" w:space="0" w:color="auto"/>
            </w:tcBorders>
            <w:vAlign w:val="bottom"/>
          </w:tcPr>
          <w:p w:rsidR="00160258" w:rsidRPr="0025046B" w:rsidP="00160258" w14:paraId="53563365" w14:textId="77777777">
            <w:pPr>
              <w:keepNext/>
              <w:keepLines/>
              <w:spacing w:after="120"/>
              <w:jc w:val="center"/>
              <w:rPr>
                <w:rFonts w:cs="Times New Roman"/>
                <w:bCs w:val="0"/>
                <w:color w:val="FF0000"/>
                <w:kern w:val="0"/>
                <w:szCs w:val="22"/>
              </w:rPr>
            </w:pPr>
            <w:r w:rsidRPr="0025046B">
              <w:rPr>
                <w:rFonts w:cs="Times New Roman"/>
                <w:bCs w:val="0"/>
                <w:kern w:val="0"/>
                <w:szCs w:val="22"/>
              </w:rPr>
              <w:t>8</w:t>
            </w:r>
            <w:r w:rsidRPr="0025046B" w:rsidR="00BF44FD">
              <w:rPr>
                <w:rFonts w:cs="Times New Roman"/>
                <w:bCs w:val="0"/>
                <w:kern w:val="0"/>
                <w:szCs w:val="22"/>
              </w:rPr>
              <w:t>7</w:t>
            </w:r>
            <w:r w:rsidRPr="0025046B">
              <w:rPr>
                <w:rFonts w:cs="Times New Roman"/>
                <w:bCs w:val="0"/>
                <w:kern w:val="0"/>
                <w:szCs w:val="22"/>
              </w:rPr>
              <w:t>.</w:t>
            </w:r>
            <w:r w:rsidRPr="0025046B" w:rsidR="00BF44FD">
              <w:rPr>
                <w:rFonts w:cs="Times New Roman"/>
                <w:bCs w:val="0"/>
                <w:kern w:val="0"/>
                <w:szCs w:val="22"/>
              </w:rPr>
              <w:t>2</w:t>
            </w:r>
            <w:r w:rsidRPr="0025046B">
              <w:rPr>
                <w:rFonts w:cs="Times New Roman"/>
                <w:bCs w:val="0"/>
                <w:kern w:val="0"/>
                <w:szCs w:val="22"/>
              </w:rPr>
              <w:t>%</w:t>
            </w:r>
          </w:p>
        </w:tc>
      </w:tr>
      <w:tr w14:paraId="6DEF9CB8" w14:textId="77777777" w:rsidTr="0074333B">
        <w:tblPrEx>
          <w:tblW w:w="9352" w:type="dxa"/>
          <w:tblInd w:w="93" w:type="dxa"/>
          <w:tblLayout w:type="fixed"/>
          <w:tblCellMar>
            <w:left w:w="86" w:type="dxa"/>
            <w:right w:w="86" w:type="dxa"/>
          </w:tblCellMar>
          <w:tblLook w:val="0000"/>
        </w:tblPrEx>
        <w:trPr>
          <w:cantSplit/>
          <w:trHeight w:val="253"/>
        </w:trPr>
        <w:tc>
          <w:tcPr>
            <w:tcW w:w="1343" w:type="dxa"/>
            <w:tcBorders>
              <w:top w:val="nil"/>
              <w:left w:val="single" w:sz="4" w:space="0" w:color="auto"/>
              <w:bottom w:val="single" w:sz="4" w:space="0" w:color="auto"/>
              <w:right w:val="single" w:sz="4" w:space="0" w:color="auto"/>
            </w:tcBorders>
            <w:vAlign w:val="bottom"/>
          </w:tcPr>
          <w:p w:rsidR="00DB2ECD" w:rsidRPr="00B57342" w:rsidP="00A72609" w14:paraId="3A119533" w14:textId="77777777">
            <w:pPr>
              <w:keepNext/>
              <w:keepLines/>
              <w:spacing w:after="120"/>
              <w:jc w:val="right"/>
              <w:rPr>
                <w:rFonts w:cs="Times New Roman"/>
                <w:bCs w:val="0"/>
                <w:color w:val="000000"/>
                <w:kern w:val="0"/>
                <w:szCs w:val="22"/>
              </w:rPr>
            </w:pPr>
            <w:r w:rsidRPr="00B57342">
              <w:rPr>
                <w:rFonts w:cs="Times New Roman"/>
                <w:bCs w:val="0"/>
                <w:color w:val="000000"/>
                <w:kern w:val="0"/>
                <w:szCs w:val="22"/>
              </w:rPr>
              <w:t>LPFM Broadcasters</w:t>
            </w:r>
          </w:p>
        </w:tc>
        <w:tc>
          <w:tcPr>
            <w:tcW w:w="990" w:type="dxa"/>
            <w:tcBorders>
              <w:top w:val="nil"/>
              <w:left w:val="single" w:sz="4" w:space="0" w:color="auto"/>
              <w:bottom w:val="single" w:sz="4" w:space="0" w:color="auto"/>
              <w:right w:val="single" w:sz="4" w:space="0" w:color="auto"/>
            </w:tcBorders>
            <w:vAlign w:val="bottom"/>
          </w:tcPr>
          <w:p w:rsidR="00DB2ECD" w:rsidRPr="007A611B" w:rsidP="00A72609" w14:paraId="4F95A80F" w14:textId="77777777">
            <w:pPr>
              <w:keepNext/>
              <w:keepLines/>
              <w:spacing w:after="120"/>
              <w:jc w:val="center"/>
              <w:rPr>
                <w:rFonts w:cs="Times New Roman"/>
                <w:bCs w:val="0"/>
                <w:color w:val="FF0000"/>
                <w:kern w:val="0"/>
                <w:szCs w:val="22"/>
              </w:rPr>
            </w:pPr>
            <w:r w:rsidRPr="007A611B">
              <w:rPr>
                <w:rFonts w:cs="Times New Roman"/>
                <w:bCs w:val="0"/>
                <w:kern w:val="0"/>
                <w:szCs w:val="22"/>
              </w:rPr>
              <w:t>2</w:t>
            </w:r>
            <w:r w:rsidRPr="007A611B" w:rsidR="005E0B27">
              <w:rPr>
                <w:rFonts w:cs="Times New Roman"/>
                <w:bCs w:val="0"/>
                <w:kern w:val="0"/>
                <w:szCs w:val="22"/>
              </w:rPr>
              <w:t>172</w:t>
            </w:r>
          </w:p>
        </w:tc>
        <w:tc>
          <w:tcPr>
            <w:tcW w:w="899" w:type="dxa"/>
            <w:tcBorders>
              <w:top w:val="nil"/>
              <w:left w:val="single" w:sz="4" w:space="0" w:color="auto"/>
              <w:bottom w:val="single" w:sz="4" w:space="0" w:color="auto"/>
              <w:right w:val="single" w:sz="4" w:space="0" w:color="auto"/>
            </w:tcBorders>
            <w:vAlign w:val="bottom"/>
          </w:tcPr>
          <w:p w:rsidR="00DB2ECD" w:rsidRPr="0025046B" w:rsidP="00A72609" w14:paraId="3B5D1BD2" w14:textId="77777777">
            <w:pPr>
              <w:keepNext/>
              <w:keepLines/>
              <w:spacing w:after="120"/>
              <w:jc w:val="center"/>
              <w:rPr>
                <w:rFonts w:cs="Times New Roman"/>
                <w:bCs w:val="0"/>
                <w:color w:val="000000"/>
                <w:kern w:val="0"/>
                <w:szCs w:val="22"/>
              </w:rPr>
            </w:pPr>
            <w:r w:rsidRPr="0025046B">
              <w:rPr>
                <w:rFonts w:cs="Times New Roman"/>
                <w:bCs w:val="0"/>
                <w:kern w:val="0"/>
                <w:szCs w:val="22"/>
              </w:rPr>
              <w:t>1</w:t>
            </w:r>
            <w:r w:rsidRPr="0025046B" w:rsidR="005E0B27">
              <w:rPr>
                <w:rFonts w:cs="Times New Roman"/>
                <w:bCs w:val="0"/>
                <w:kern w:val="0"/>
                <w:szCs w:val="22"/>
              </w:rPr>
              <w:t>05</w:t>
            </w:r>
            <w:r w:rsidRPr="0025046B" w:rsidR="007A611B">
              <w:rPr>
                <w:rFonts w:cs="Times New Roman"/>
                <w:bCs w:val="0"/>
                <w:kern w:val="0"/>
                <w:szCs w:val="22"/>
              </w:rPr>
              <w:t>1</w:t>
            </w:r>
          </w:p>
        </w:tc>
        <w:tc>
          <w:tcPr>
            <w:tcW w:w="1350" w:type="dxa"/>
            <w:tcBorders>
              <w:top w:val="nil"/>
              <w:left w:val="single" w:sz="4" w:space="0" w:color="auto"/>
              <w:bottom w:val="single" w:sz="4" w:space="0" w:color="auto"/>
              <w:right w:val="single" w:sz="4" w:space="0" w:color="auto"/>
            </w:tcBorders>
            <w:vAlign w:val="bottom"/>
          </w:tcPr>
          <w:p w:rsidR="00DB2ECD" w:rsidRPr="0025046B" w:rsidP="00A72609" w14:paraId="7E010EFE" w14:textId="77777777">
            <w:pPr>
              <w:keepNext/>
              <w:keepLines/>
              <w:spacing w:after="120"/>
              <w:jc w:val="center"/>
              <w:rPr>
                <w:rFonts w:cs="Times New Roman"/>
                <w:bCs w:val="0"/>
                <w:color w:val="FF0000"/>
                <w:kern w:val="0"/>
                <w:szCs w:val="22"/>
              </w:rPr>
            </w:pPr>
            <w:r w:rsidRPr="0025046B">
              <w:rPr>
                <w:rFonts w:cs="Times New Roman"/>
                <w:bCs w:val="0"/>
                <w:kern w:val="0"/>
                <w:szCs w:val="22"/>
              </w:rPr>
              <w:t>48.</w:t>
            </w:r>
            <w:r w:rsidRPr="0025046B" w:rsidR="004A4FA4">
              <w:rPr>
                <w:rFonts w:cs="Times New Roman"/>
                <w:bCs w:val="0"/>
                <w:kern w:val="0"/>
                <w:szCs w:val="22"/>
              </w:rPr>
              <w:t>4</w:t>
            </w:r>
            <w:r w:rsidRPr="0025046B">
              <w:rPr>
                <w:rFonts w:cs="Times New Roman"/>
                <w:bCs w:val="0"/>
                <w:kern w:val="0"/>
                <w:szCs w:val="22"/>
              </w:rPr>
              <w:t>%</w:t>
            </w:r>
          </w:p>
        </w:tc>
        <w:tc>
          <w:tcPr>
            <w:tcW w:w="721" w:type="dxa"/>
            <w:tcBorders>
              <w:top w:val="nil"/>
              <w:left w:val="nil"/>
              <w:bottom w:val="single" w:sz="4" w:space="0" w:color="auto"/>
              <w:right w:val="single" w:sz="4" w:space="0" w:color="auto"/>
            </w:tcBorders>
            <w:vAlign w:val="bottom"/>
          </w:tcPr>
          <w:p w:rsidR="00DB2ECD" w:rsidRPr="0025046B" w:rsidP="00A72609" w14:paraId="09A91FF6" w14:textId="77777777">
            <w:pPr>
              <w:keepNext/>
              <w:keepLines/>
              <w:spacing w:after="120"/>
              <w:jc w:val="center"/>
              <w:rPr>
                <w:rFonts w:cs="Times New Roman"/>
                <w:bCs w:val="0"/>
                <w:color w:val="000000"/>
                <w:kern w:val="0"/>
                <w:szCs w:val="22"/>
              </w:rPr>
            </w:pPr>
            <w:r w:rsidRPr="0025046B">
              <w:rPr>
                <w:rFonts w:cs="Times New Roman"/>
                <w:bCs w:val="0"/>
                <w:kern w:val="0"/>
                <w:szCs w:val="22"/>
              </w:rPr>
              <w:t>89</w:t>
            </w:r>
          </w:p>
        </w:tc>
        <w:tc>
          <w:tcPr>
            <w:tcW w:w="810" w:type="dxa"/>
            <w:tcBorders>
              <w:top w:val="nil"/>
              <w:left w:val="nil"/>
              <w:bottom w:val="single" w:sz="4" w:space="0" w:color="auto"/>
              <w:right w:val="single" w:sz="4" w:space="0" w:color="auto"/>
            </w:tcBorders>
            <w:vAlign w:val="bottom"/>
          </w:tcPr>
          <w:p w:rsidR="00DB2ECD" w:rsidRPr="0025046B" w:rsidP="00A72609" w14:paraId="383BD33F" w14:textId="77777777">
            <w:pPr>
              <w:keepNext/>
              <w:keepLines/>
              <w:spacing w:after="120"/>
              <w:jc w:val="center"/>
              <w:rPr>
                <w:rFonts w:cs="Times New Roman"/>
                <w:bCs w:val="0"/>
                <w:color w:val="FF0000"/>
                <w:kern w:val="0"/>
                <w:szCs w:val="22"/>
              </w:rPr>
            </w:pPr>
            <w:r w:rsidRPr="0025046B">
              <w:rPr>
                <w:rFonts w:cs="Times New Roman"/>
                <w:bCs w:val="0"/>
                <w:kern w:val="0"/>
                <w:szCs w:val="22"/>
              </w:rPr>
              <w:t>8.</w:t>
            </w:r>
            <w:r w:rsidRPr="0025046B" w:rsidR="004A4FA4">
              <w:rPr>
                <w:rFonts w:cs="Times New Roman"/>
                <w:bCs w:val="0"/>
                <w:kern w:val="0"/>
                <w:szCs w:val="22"/>
              </w:rPr>
              <w:t>5</w:t>
            </w:r>
            <w:r w:rsidRPr="0025046B" w:rsidR="00033051">
              <w:rPr>
                <w:rFonts w:cs="Times New Roman"/>
                <w:bCs w:val="0"/>
                <w:kern w:val="0"/>
                <w:szCs w:val="22"/>
              </w:rPr>
              <w:t>%</w:t>
            </w:r>
          </w:p>
        </w:tc>
        <w:tc>
          <w:tcPr>
            <w:tcW w:w="810" w:type="dxa"/>
            <w:tcBorders>
              <w:top w:val="nil"/>
              <w:left w:val="nil"/>
              <w:bottom w:val="single" w:sz="4" w:space="0" w:color="auto"/>
              <w:right w:val="single" w:sz="4" w:space="0" w:color="auto"/>
            </w:tcBorders>
            <w:vAlign w:val="bottom"/>
          </w:tcPr>
          <w:p w:rsidR="00DB2ECD" w:rsidRPr="0025046B" w:rsidP="00A72609" w14:paraId="6A23D82C" w14:textId="77777777">
            <w:pPr>
              <w:keepNext/>
              <w:keepLines/>
              <w:spacing w:after="120"/>
              <w:jc w:val="center"/>
              <w:rPr>
                <w:rFonts w:cs="Times New Roman"/>
                <w:bCs w:val="0"/>
                <w:color w:val="000000"/>
                <w:kern w:val="0"/>
                <w:szCs w:val="22"/>
              </w:rPr>
            </w:pPr>
            <w:r w:rsidRPr="0025046B">
              <w:rPr>
                <w:rFonts w:cs="Times New Roman"/>
                <w:bCs w:val="0"/>
                <w:kern w:val="0"/>
                <w:szCs w:val="22"/>
              </w:rPr>
              <w:t>12</w:t>
            </w:r>
            <w:r w:rsidRPr="0025046B" w:rsidR="005E0B27">
              <w:rPr>
                <w:rFonts w:cs="Times New Roman"/>
                <w:bCs w:val="0"/>
                <w:kern w:val="0"/>
                <w:szCs w:val="22"/>
              </w:rPr>
              <w:t>7</w:t>
            </w:r>
          </w:p>
        </w:tc>
        <w:tc>
          <w:tcPr>
            <w:tcW w:w="810" w:type="dxa"/>
            <w:tcBorders>
              <w:top w:val="nil"/>
              <w:left w:val="nil"/>
              <w:bottom w:val="single" w:sz="4" w:space="0" w:color="auto"/>
              <w:right w:val="single" w:sz="4" w:space="0" w:color="auto"/>
            </w:tcBorders>
            <w:vAlign w:val="bottom"/>
          </w:tcPr>
          <w:p w:rsidR="00DB2ECD" w:rsidRPr="0025046B" w:rsidP="00A72609" w14:paraId="7C290A57"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12.</w:t>
            </w:r>
            <w:r w:rsidRPr="0025046B" w:rsidR="004A4FA4">
              <w:rPr>
                <w:rFonts w:cs="Times New Roman"/>
                <w:bCs w:val="0"/>
                <w:color w:val="000000"/>
                <w:kern w:val="0"/>
                <w:szCs w:val="22"/>
              </w:rPr>
              <w:t>1</w:t>
            </w:r>
            <w:r w:rsidRPr="0025046B">
              <w:rPr>
                <w:rFonts w:cs="Times New Roman"/>
                <w:bCs w:val="0"/>
                <w:color w:val="000000"/>
                <w:kern w:val="0"/>
                <w:szCs w:val="22"/>
              </w:rPr>
              <w:t>%</w:t>
            </w:r>
          </w:p>
        </w:tc>
        <w:tc>
          <w:tcPr>
            <w:tcW w:w="810" w:type="dxa"/>
            <w:tcBorders>
              <w:top w:val="nil"/>
              <w:left w:val="nil"/>
              <w:bottom w:val="single" w:sz="4" w:space="0" w:color="auto"/>
              <w:right w:val="single" w:sz="4" w:space="0" w:color="auto"/>
            </w:tcBorders>
            <w:vAlign w:val="bottom"/>
          </w:tcPr>
          <w:p w:rsidR="00DB2ECD" w:rsidRPr="0025046B" w:rsidP="00A72609" w14:paraId="4D7E9D32" w14:textId="77777777">
            <w:pPr>
              <w:keepNext/>
              <w:keepLines/>
              <w:spacing w:after="120"/>
              <w:jc w:val="center"/>
              <w:rPr>
                <w:rFonts w:cs="Times New Roman"/>
                <w:bCs w:val="0"/>
                <w:color w:val="000000"/>
                <w:kern w:val="0"/>
                <w:szCs w:val="22"/>
              </w:rPr>
            </w:pPr>
            <w:r w:rsidRPr="0025046B">
              <w:rPr>
                <w:rFonts w:cs="Times New Roman"/>
                <w:bCs w:val="0"/>
                <w:kern w:val="0"/>
                <w:szCs w:val="22"/>
              </w:rPr>
              <w:t>8</w:t>
            </w:r>
            <w:r w:rsidRPr="0025046B" w:rsidR="007A611B">
              <w:rPr>
                <w:rFonts w:cs="Times New Roman"/>
                <w:bCs w:val="0"/>
                <w:kern w:val="0"/>
                <w:szCs w:val="22"/>
              </w:rPr>
              <w:t>35</w:t>
            </w:r>
          </w:p>
        </w:tc>
        <w:tc>
          <w:tcPr>
            <w:tcW w:w="809" w:type="dxa"/>
            <w:tcBorders>
              <w:top w:val="nil"/>
              <w:left w:val="nil"/>
              <w:bottom w:val="single" w:sz="4" w:space="0" w:color="auto"/>
              <w:right w:val="single" w:sz="4" w:space="0" w:color="auto"/>
            </w:tcBorders>
            <w:vAlign w:val="bottom"/>
          </w:tcPr>
          <w:p w:rsidR="00DB2ECD" w:rsidRPr="0025046B" w:rsidP="00A72609" w14:paraId="0D616F18" w14:textId="77777777">
            <w:pPr>
              <w:keepNext/>
              <w:keepLines/>
              <w:spacing w:after="120"/>
              <w:jc w:val="center"/>
              <w:rPr>
                <w:rFonts w:cs="Times New Roman"/>
                <w:bCs w:val="0"/>
                <w:color w:val="FF0000"/>
                <w:kern w:val="0"/>
                <w:szCs w:val="22"/>
              </w:rPr>
            </w:pPr>
            <w:r w:rsidRPr="0025046B">
              <w:rPr>
                <w:rFonts w:cs="Times New Roman"/>
                <w:bCs w:val="0"/>
                <w:kern w:val="0"/>
                <w:szCs w:val="22"/>
              </w:rPr>
              <w:t>79.4</w:t>
            </w:r>
            <w:r w:rsidRPr="0025046B" w:rsidR="00033051">
              <w:rPr>
                <w:rFonts w:cs="Times New Roman"/>
                <w:bCs w:val="0"/>
                <w:kern w:val="0"/>
                <w:szCs w:val="22"/>
              </w:rPr>
              <w:t>%</w:t>
            </w:r>
          </w:p>
        </w:tc>
      </w:tr>
      <w:tr w14:paraId="7A103C52" w14:textId="77777777" w:rsidTr="0074333B">
        <w:tblPrEx>
          <w:tblW w:w="9352" w:type="dxa"/>
          <w:tblInd w:w="93" w:type="dxa"/>
          <w:tblLayout w:type="fixed"/>
          <w:tblCellMar>
            <w:left w:w="86" w:type="dxa"/>
            <w:right w:w="86" w:type="dxa"/>
          </w:tblCellMar>
          <w:tblLook w:val="0000"/>
        </w:tblPrEx>
        <w:trPr>
          <w:cantSplit/>
          <w:trHeight w:val="253"/>
        </w:trPr>
        <w:tc>
          <w:tcPr>
            <w:tcW w:w="1343" w:type="dxa"/>
            <w:tcBorders>
              <w:top w:val="nil"/>
              <w:left w:val="single" w:sz="4" w:space="0" w:color="auto"/>
              <w:bottom w:val="single" w:sz="4" w:space="0" w:color="auto"/>
              <w:right w:val="single" w:sz="4" w:space="0" w:color="auto"/>
            </w:tcBorders>
            <w:vAlign w:val="bottom"/>
          </w:tcPr>
          <w:p w:rsidR="00DB2ECD" w:rsidRPr="00B57342" w:rsidP="00A72609" w14:paraId="1C5C371B" w14:textId="77777777">
            <w:pPr>
              <w:keepNext/>
              <w:keepLines/>
              <w:spacing w:after="120"/>
              <w:jc w:val="right"/>
              <w:rPr>
                <w:rFonts w:cs="Times New Roman"/>
                <w:bCs w:val="0"/>
                <w:color w:val="000000"/>
                <w:kern w:val="0"/>
                <w:szCs w:val="22"/>
              </w:rPr>
            </w:pPr>
            <w:r w:rsidRPr="00B57342">
              <w:rPr>
                <w:rFonts w:cs="Times New Roman"/>
                <w:bCs w:val="0"/>
                <w:color w:val="000000"/>
                <w:kern w:val="0"/>
                <w:szCs w:val="22"/>
              </w:rPr>
              <w:t>All Television Broadcasters</w:t>
            </w:r>
          </w:p>
        </w:tc>
        <w:tc>
          <w:tcPr>
            <w:tcW w:w="990" w:type="dxa"/>
            <w:tcBorders>
              <w:top w:val="nil"/>
              <w:left w:val="single" w:sz="4" w:space="0" w:color="auto"/>
              <w:bottom w:val="single" w:sz="4" w:space="0" w:color="auto"/>
              <w:right w:val="single" w:sz="4" w:space="0" w:color="auto"/>
            </w:tcBorders>
            <w:vAlign w:val="bottom"/>
          </w:tcPr>
          <w:p w:rsidR="00DB2ECD" w:rsidRPr="007A611B" w:rsidP="00A72609" w14:paraId="18BACED1" w14:textId="77777777">
            <w:pPr>
              <w:keepNext/>
              <w:keepLines/>
              <w:spacing w:after="120"/>
              <w:jc w:val="center"/>
              <w:rPr>
                <w:rFonts w:cs="Times New Roman"/>
                <w:bCs w:val="0"/>
                <w:color w:val="FF0000"/>
                <w:kern w:val="0"/>
                <w:szCs w:val="22"/>
              </w:rPr>
            </w:pPr>
            <w:r w:rsidRPr="007A611B">
              <w:rPr>
                <w:rFonts w:cs="Times New Roman"/>
                <w:bCs w:val="0"/>
                <w:kern w:val="0"/>
                <w:szCs w:val="22"/>
              </w:rPr>
              <w:t>4056</w:t>
            </w:r>
          </w:p>
        </w:tc>
        <w:tc>
          <w:tcPr>
            <w:tcW w:w="899" w:type="dxa"/>
            <w:tcBorders>
              <w:top w:val="nil"/>
              <w:left w:val="single" w:sz="4" w:space="0" w:color="auto"/>
              <w:bottom w:val="single" w:sz="4" w:space="0" w:color="auto"/>
              <w:right w:val="single" w:sz="4" w:space="0" w:color="auto"/>
            </w:tcBorders>
            <w:vAlign w:val="bottom"/>
          </w:tcPr>
          <w:p w:rsidR="00DB2ECD" w:rsidRPr="0025046B" w:rsidP="00A72609" w14:paraId="519CF0C1"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2</w:t>
            </w:r>
            <w:r w:rsidRPr="0025046B" w:rsidR="00460199">
              <w:rPr>
                <w:rFonts w:cs="Times New Roman"/>
                <w:bCs w:val="0"/>
                <w:color w:val="000000"/>
                <w:kern w:val="0"/>
                <w:szCs w:val="22"/>
              </w:rPr>
              <w:t>6</w:t>
            </w:r>
            <w:r w:rsidRPr="0025046B" w:rsidR="0050097A">
              <w:rPr>
                <w:rFonts w:cs="Times New Roman"/>
                <w:bCs w:val="0"/>
                <w:color w:val="000000"/>
                <w:kern w:val="0"/>
                <w:szCs w:val="22"/>
              </w:rPr>
              <w:t>4</w:t>
            </w:r>
            <w:r w:rsidR="00D362E3">
              <w:rPr>
                <w:rFonts w:cs="Times New Roman"/>
                <w:bCs w:val="0"/>
                <w:color w:val="000000"/>
                <w:kern w:val="0"/>
                <w:szCs w:val="22"/>
              </w:rPr>
              <w:t>2</w:t>
            </w:r>
          </w:p>
        </w:tc>
        <w:tc>
          <w:tcPr>
            <w:tcW w:w="1350" w:type="dxa"/>
            <w:tcBorders>
              <w:top w:val="nil"/>
              <w:left w:val="single" w:sz="4" w:space="0" w:color="auto"/>
              <w:bottom w:val="single" w:sz="4" w:space="0" w:color="auto"/>
              <w:right w:val="single" w:sz="4" w:space="0" w:color="auto"/>
            </w:tcBorders>
            <w:vAlign w:val="bottom"/>
          </w:tcPr>
          <w:p w:rsidR="00DB2ECD" w:rsidRPr="0025046B" w:rsidP="00A72609" w14:paraId="0CCD0B3C" w14:textId="77777777">
            <w:pPr>
              <w:keepNext/>
              <w:keepLines/>
              <w:spacing w:after="120"/>
              <w:jc w:val="center"/>
              <w:rPr>
                <w:rFonts w:cs="Times New Roman"/>
                <w:bCs w:val="0"/>
                <w:color w:val="FF0000"/>
                <w:kern w:val="0"/>
                <w:szCs w:val="22"/>
              </w:rPr>
            </w:pPr>
            <w:r w:rsidRPr="0025046B">
              <w:rPr>
                <w:rFonts w:cs="Times New Roman"/>
                <w:bCs w:val="0"/>
                <w:kern w:val="0"/>
                <w:szCs w:val="22"/>
              </w:rPr>
              <w:t>6</w:t>
            </w:r>
            <w:r w:rsidRPr="0025046B" w:rsidR="00BF44FD">
              <w:rPr>
                <w:rFonts w:cs="Times New Roman"/>
                <w:bCs w:val="0"/>
                <w:kern w:val="0"/>
                <w:szCs w:val="22"/>
              </w:rPr>
              <w:t>5</w:t>
            </w:r>
            <w:r w:rsidRPr="0025046B">
              <w:rPr>
                <w:rFonts w:cs="Times New Roman"/>
                <w:bCs w:val="0"/>
                <w:kern w:val="0"/>
                <w:szCs w:val="22"/>
              </w:rPr>
              <w:t>.</w:t>
            </w:r>
            <w:r w:rsidRPr="0025046B" w:rsidR="004A4FA4">
              <w:rPr>
                <w:rFonts w:cs="Times New Roman"/>
                <w:bCs w:val="0"/>
                <w:kern w:val="0"/>
                <w:szCs w:val="22"/>
              </w:rPr>
              <w:t>1</w:t>
            </w:r>
            <w:r w:rsidRPr="0025046B">
              <w:rPr>
                <w:rFonts w:cs="Times New Roman"/>
                <w:bCs w:val="0"/>
                <w:kern w:val="0"/>
                <w:szCs w:val="22"/>
              </w:rPr>
              <w:t>%</w:t>
            </w:r>
          </w:p>
        </w:tc>
        <w:tc>
          <w:tcPr>
            <w:tcW w:w="721" w:type="dxa"/>
            <w:tcBorders>
              <w:top w:val="nil"/>
              <w:left w:val="nil"/>
              <w:bottom w:val="single" w:sz="4" w:space="0" w:color="auto"/>
              <w:right w:val="single" w:sz="4" w:space="0" w:color="auto"/>
            </w:tcBorders>
            <w:vAlign w:val="bottom"/>
          </w:tcPr>
          <w:p w:rsidR="00DB2ECD" w:rsidRPr="0025046B" w:rsidP="00A72609" w14:paraId="3134BE96"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36</w:t>
            </w:r>
          </w:p>
        </w:tc>
        <w:tc>
          <w:tcPr>
            <w:tcW w:w="810" w:type="dxa"/>
            <w:tcBorders>
              <w:top w:val="nil"/>
              <w:left w:val="nil"/>
              <w:bottom w:val="single" w:sz="4" w:space="0" w:color="auto"/>
              <w:right w:val="single" w:sz="4" w:space="0" w:color="auto"/>
            </w:tcBorders>
            <w:vAlign w:val="bottom"/>
          </w:tcPr>
          <w:p w:rsidR="00DB2ECD" w:rsidRPr="0025046B" w:rsidP="00A72609" w14:paraId="4F804666" w14:textId="77777777">
            <w:pPr>
              <w:keepNext/>
              <w:keepLines/>
              <w:spacing w:after="120"/>
              <w:jc w:val="center"/>
              <w:rPr>
                <w:rFonts w:cs="Times New Roman"/>
                <w:bCs w:val="0"/>
                <w:color w:val="FF0000"/>
                <w:kern w:val="0"/>
                <w:szCs w:val="22"/>
              </w:rPr>
            </w:pPr>
            <w:r w:rsidRPr="0025046B">
              <w:rPr>
                <w:rFonts w:cs="Times New Roman"/>
                <w:bCs w:val="0"/>
                <w:kern w:val="0"/>
                <w:szCs w:val="22"/>
              </w:rPr>
              <w:t>1.4</w:t>
            </w:r>
            <w:r w:rsidRPr="0025046B" w:rsidR="00033051">
              <w:rPr>
                <w:rFonts w:cs="Times New Roman"/>
                <w:bCs w:val="0"/>
                <w:kern w:val="0"/>
                <w:szCs w:val="22"/>
              </w:rPr>
              <w:t>%</w:t>
            </w:r>
          </w:p>
        </w:tc>
        <w:tc>
          <w:tcPr>
            <w:tcW w:w="810" w:type="dxa"/>
            <w:tcBorders>
              <w:top w:val="nil"/>
              <w:left w:val="nil"/>
              <w:bottom w:val="single" w:sz="4" w:space="0" w:color="auto"/>
              <w:right w:val="single" w:sz="4" w:space="0" w:color="auto"/>
            </w:tcBorders>
            <w:vAlign w:val="bottom"/>
          </w:tcPr>
          <w:p w:rsidR="00DB2ECD" w:rsidRPr="0025046B" w:rsidP="00A72609" w14:paraId="0719A2F5"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204</w:t>
            </w:r>
          </w:p>
        </w:tc>
        <w:tc>
          <w:tcPr>
            <w:tcW w:w="810" w:type="dxa"/>
            <w:tcBorders>
              <w:top w:val="nil"/>
              <w:left w:val="nil"/>
              <w:bottom w:val="single" w:sz="4" w:space="0" w:color="auto"/>
              <w:right w:val="single" w:sz="4" w:space="0" w:color="auto"/>
            </w:tcBorders>
            <w:vAlign w:val="bottom"/>
          </w:tcPr>
          <w:p w:rsidR="00DB2ECD" w:rsidRPr="0025046B" w:rsidP="00A72609" w14:paraId="7D8D33B1"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7.</w:t>
            </w:r>
            <w:r w:rsidRPr="0025046B" w:rsidR="00BF44FD">
              <w:rPr>
                <w:rFonts w:cs="Times New Roman"/>
                <w:bCs w:val="0"/>
                <w:color w:val="000000"/>
                <w:kern w:val="0"/>
                <w:szCs w:val="22"/>
              </w:rPr>
              <w:t>7</w:t>
            </w:r>
            <w:r w:rsidRPr="0025046B">
              <w:rPr>
                <w:rFonts w:cs="Times New Roman"/>
                <w:bCs w:val="0"/>
                <w:color w:val="000000"/>
                <w:kern w:val="0"/>
                <w:szCs w:val="22"/>
              </w:rPr>
              <w:t>%</w:t>
            </w:r>
          </w:p>
        </w:tc>
        <w:tc>
          <w:tcPr>
            <w:tcW w:w="810" w:type="dxa"/>
            <w:tcBorders>
              <w:top w:val="nil"/>
              <w:left w:val="nil"/>
              <w:bottom w:val="single" w:sz="4" w:space="0" w:color="auto"/>
              <w:right w:val="single" w:sz="4" w:space="0" w:color="auto"/>
            </w:tcBorders>
            <w:vAlign w:val="bottom"/>
          </w:tcPr>
          <w:p w:rsidR="00DB2ECD" w:rsidRPr="0025046B" w:rsidP="00A72609" w14:paraId="2D051153" w14:textId="77777777">
            <w:pPr>
              <w:keepNext/>
              <w:keepLines/>
              <w:spacing w:after="120"/>
              <w:jc w:val="center"/>
              <w:rPr>
                <w:rFonts w:cs="Times New Roman"/>
                <w:bCs w:val="0"/>
                <w:color w:val="000000"/>
                <w:kern w:val="0"/>
                <w:szCs w:val="22"/>
              </w:rPr>
            </w:pPr>
            <w:r w:rsidRPr="0025046B">
              <w:rPr>
                <w:rFonts w:cs="Times New Roman"/>
                <w:bCs w:val="0"/>
                <w:color w:val="000000"/>
                <w:kern w:val="0"/>
                <w:szCs w:val="22"/>
              </w:rPr>
              <w:t>2</w:t>
            </w:r>
            <w:r w:rsidRPr="0025046B" w:rsidR="00460199">
              <w:rPr>
                <w:rFonts w:cs="Times New Roman"/>
                <w:bCs w:val="0"/>
                <w:color w:val="000000"/>
                <w:kern w:val="0"/>
                <w:szCs w:val="22"/>
              </w:rPr>
              <w:t>4</w:t>
            </w:r>
            <w:r w:rsidRPr="0025046B" w:rsidR="004720B2">
              <w:rPr>
                <w:rFonts w:cs="Times New Roman"/>
                <w:bCs w:val="0"/>
                <w:color w:val="000000"/>
                <w:kern w:val="0"/>
                <w:szCs w:val="22"/>
              </w:rPr>
              <w:t>0</w:t>
            </w:r>
            <w:r w:rsidR="00D362E3">
              <w:rPr>
                <w:rFonts w:cs="Times New Roman"/>
                <w:bCs w:val="0"/>
                <w:color w:val="000000"/>
                <w:kern w:val="0"/>
                <w:szCs w:val="22"/>
              </w:rPr>
              <w:t>2</w:t>
            </w:r>
          </w:p>
        </w:tc>
        <w:tc>
          <w:tcPr>
            <w:tcW w:w="809" w:type="dxa"/>
            <w:tcBorders>
              <w:top w:val="nil"/>
              <w:left w:val="nil"/>
              <w:bottom w:val="single" w:sz="4" w:space="0" w:color="auto"/>
              <w:right w:val="single" w:sz="4" w:space="0" w:color="auto"/>
            </w:tcBorders>
            <w:vAlign w:val="bottom"/>
          </w:tcPr>
          <w:p w:rsidR="00DB2ECD" w:rsidRPr="0025046B" w:rsidP="00A72609" w14:paraId="36767917" w14:textId="77777777">
            <w:pPr>
              <w:keepNext/>
              <w:keepLines/>
              <w:spacing w:after="120"/>
              <w:jc w:val="center"/>
              <w:rPr>
                <w:rFonts w:cs="Times New Roman"/>
                <w:bCs w:val="0"/>
                <w:color w:val="FF0000"/>
                <w:kern w:val="0"/>
                <w:szCs w:val="22"/>
              </w:rPr>
            </w:pPr>
            <w:r w:rsidRPr="0025046B">
              <w:rPr>
                <w:rFonts w:cs="Times New Roman"/>
                <w:bCs w:val="0"/>
                <w:kern w:val="0"/>
                <w:szCs w:val="22"/>
              </w:rPr>
              <w:t>9</w:t>
            </w:r>
            <w:r w:rsidRPr="0025046B" w:rsidR="00BF44FD">
              <w:rPr>
                <w:rFonts w:cs="Times New Roman"/>
                <w:bCs w:val="0"/>
                <w:kern w:val="0"/>
                <w:szCs w:val="22"/>
              </w:rPr>
              <w:t>1</w:t>
            </w:r>
            <w:r w:rsidRPr="0025046B">
              <w:rPr>
                <w:rFonts w:cs="Times New Roman"/>
                <w:bCs w:val="0"/>
                <w:kern w:val="0"/>
                <w:szCs w:val="22"/>
              </w:rPr>
              <w:t>.</w:t>
            </w:r>
            <w:r w:rsidRPr="0025046B" w:rsidR="00BF44FD">
              <w:rPr>
                <w:rFonts w:cs="Times New Roman"/>
                <w:bCs w:val="0"/>
                <w:kern w:val="0"/>
                <w:szCs w:val="22"/>
              </w:rPr>
              <w:t>0</w:t>
            </w:r>
            <w:r w:rsidRPr="0025046B">
              <w:rPr>
                <w:rFonts w:cs="Times New Roman"/>
                <w:bCs w:val="0"/>
                <w:kern w:val="0"/>
                <w:szCs w:val="22"/>
              </w:rPr>
              <w:t>%</w:t>
            </w:r>
          </w:p>
        </w:tc>
      </w:tr>
      <w:tr w14:paraId="285B027F" w14:textId="77777777" w:rsidTr="0074333B">
        <w:tblPrEx>
          <w:tblW w:w="9352" w:type="dxa"/>
          <w:tblInd w:w="93" w:type="dxa"/>
          <w:tblLayout w:type="fixed"/>
          <w:tblCellMar>
            <w:left w:w="86" w:type="dxa"/>
            <w:right w:w="86" w:type="dxa"/>
          </w:tblCellMar>
          <w:tblLook w:val="0000"/>
        </w:tblPrEx>
        <w:trPr>
          <w:cantSplit/>
          <w:trHeight w:val="253"/>
        </w:trPr>
        <w:tc>
          <w:tcPr>
            <w:tcW w:w="1343" w:type="dxa"/>
            <w:tcBorders>
              <w:top w:val="nil"/>
              <w:left w:val="single" w:sz="4" w:space="0" w:color="auto"/>
              <w:bottom w:val="single" w:sz="4" w:space="0" w:color="auto"/>
              <w:right w:val="single" w:sz="4" w:space="0" w:color="auto"/>
            </w:tcBorders>
            <w:vAlign w:val="bottom"/>
          </w:tcPr>
          <w:p w:rsidR="00DB2ECD" w:rsidRPr="00B57342" w:rsidP="00A72609" w14:paraId="5BE7153E" w14:textId="77777777">
            <w:pPr>
              <w:spacing w:after="120"/>
              <w:jc w:val="right"/>
              <w:rPr>
                <w:rFonts w:cs="Times New Roman"/>
                <w:bCs w:val="0"/>
                <w:color w:val="000000"/>
                <w:kern w:val="0"/>
                <w:szCs w:val="22"/>
              </w:rPr>
            </w:pPr>
            <w:r w:rsidRPr="00B57342">
              <w:rPr>
                <w:rFonts w:cs="Times New Roman"/>
                <w:bCs w:val="0"/>
                <w:color w:val="000000"/>
                <w:kern w:val="0"/>
                <w:szCs w:val="22"/>
              </w:rPr>
              <w:t>LPTV Broadcasters</w:t>
            </w:r>
          </w:p>
        </w:tc>
        <w:tc>
          <w:tcPr>
            <w:tcW w:w="990" w:type="dxa"/>
            <w:tcBorders>
              <w:top w:val="nil"/>
              <w:left w:val="single" w:sz="4" w:space="0" w:color="auto"/>
              <w:bottom w:val="single" w:sz="4" w:space="0" w:color="auto"/>
              <w:right w:val="single" w:sz="4" w:space="0" w:color="auto"/>
            </w:tcBorders>
            <w:vAlign w:val="bottom"/>
          </w:tcPr>
          <w:p w:rsidR="00DB2ECD" w:rsidRPr="007A611B" w:rsidP="00A72609" w14:paraId="4B26C450" w14:textId="77777777">
            <w:pPr>
              <w:spacing w:after="120"/>
              <w:jc w:val="center"/>
              <w:rPr>
                <w:rFonts w:cs="Times New Roman"/>
                <w:bCs w:val="0"/>
                <w:color w:val="FF0000"/>
                <w:kern w:val="0"/>
                <w:szCs w:val="22"/>
              </w:rPr>
            </w:pPr>
            <w:r w:rsidRPr="007A611B">
              <w:rPr>
                <w:rFonts w:cs="Times New Roman"/>
                <w:bCs w:val="0"/>
                <w:kern w:val="0"/>
                <w:szCs w:val="22"/>
              </w:rPr>
              <w:t>19</w:t>
            </w:r>
            <w:r w:rsidRPr="007A611B" w:rsidR="005E0B27">
              <w:rPr>
                <w:rFonts w:cs="Times New Roman"/>
                <w:bCs w:val="0"/>
                <w:kern w:val="0"/>
                <w:szCs w:val="22"/>
              </w:rPr>
              <w:t>08</w:t>
            </w:r>
          </w:p>
        </w:tc>
        <w:tc>
          <w:tcPr>
            <w:tcW w:w="899" w:type="dxa"/>
            <w:tcBorders>
              <w:top w:val="nil"/>
              <w:left w:val="single" w:sz="4" w:space="0" w:color="auto"/>
              <w:bottom w:val="single" w:sz="4" w:space="0" w:color="auto"/>
              <w:right w:val="single" w:sz="4" w:space="0" w:color="auto"/>
            </w:tcBorders>
            <w:vAlign w:val="bottom"/>
          </w:tcPr>
          <w:p w:rsidR="00DB2ECD" w:rsidRPr="00F20CAA" w:rsidP="00A72609" w14:paraId="29461445" w14:textId="77777777">
            <w:pPr>
              <w:spacing w:after="120"/>
              <w:jc w:val="center"/>
              <w:rPr>
                <w:rFonts w:cs="Times New Roman"/>
                <w:bCs w:val="0"/>
                <w:color w:val="000000"/>
                <w:kern w:val="0"/>
                <w:szCs w:val="22"/>
              </w:rPr>
            </w:pPr>
            <w:r w:rsidRPr="00F20CAA">
              <w:rPr>
                <w:rFonts w:cs="Times New Roman"/>
                <w:bCs w:val="0"/>
                <w:kern w:val="0"/>
                <w:szCs w:val="22"/>
              </w:rPr>
              <w:t>792</w:t>
            </w:r>
          </w:p>
        </w:tc>
        <w:tc>
          <w:tcPr>
            <w:tcW w:w="1350" w:type="dxa"/>
            <w:tcBorders>
              <w:top w:val="nil"/>
              <w:left w:val="single" w:sz="4" w:space="0" w:color="auto"/>
              <w:bottom w:val="single" w:sz="4" w:space="0" w:color="auto"/>
              <w:right w:val="single" w:sz="4" w:space="0" w:color="auto"/>
            </w:tcBorders>
            <w:vAlign w:val="bottom"/>
          </w:tcPr>
          <w:p w:rsidR="00DB2ECD" w:rsidRPr="00F20CAA" w:rsidP="00A72609" w14:paraId="0084616E" w14:textId="77777777">
            <w:pPr>
              <w:spacing w:after="120"/>
              <w:jc w:val="center"/>
              <w:rPr>
                <w:rFonts w:cs="Times New Roman"/>
                <w:bCs w:val="0"/>
                <w:color w:val="FF0000"/>
                <w:kern w:val="0"/>
                <w:szCs w:val="22"/>
              </w:rPr>
            </w:pPr>
            <w:r w:rsidRPr="00F20CAA">
              <w:rPr>
                <w:rFonts w:cs="Times New Roman"/>
                <w:bCs w:val="0"/>
                <w:kern w:val="0"/>
                <w:szCs w:val="22"/>
              </w:rPr>
              <w:t>4</w:t>
            </w:r>
            <w:r w:rsidRPr="00F20CAA" w:rsidR="00F20CAA">
              <w:rPr>
                <w:rFonts w:cs="Times New Roman"/>
                <w:bCs w:val="0"/>
                <w:kern w:val="0"/>
                <w:szCs w:val="22"/>
              </w:rPr>
              <w:t>1.5</w:t>
            </w:r>
            <w:r w:rsidRPr="00F20CAA" w:rsidR="00033051">
              <w:rPr>
                <w:rFonts w:cs="Times New Roman"/>
                <w:bCs w:val="0"/>
                <w:kern w:val="0"/>
                <w:szCs w:val="22"/>
              </w:rPr>
              <w:t>%</w:t>
            </w:r>
          </w:p>
        </w:tc>
        <w:tc>
          <w:tcPr>
            <w:tcW w:w="721" w:type="dxa"/>
            <w:tcBorders>
              <w:top w:val="nil"/>
              <w:left w:val="nil"/>
              <w:bottom w:val="single" w:sz="4" w:space="0" w:color="auto"/>
              <w:right w:val="single" w:sz="4" w:space="0" w:color="auto"/>
            </w:tcBorders>
            <w:vAlign w:val="bottom"/>
          </w:tcPr>
          <w:p w:rsidR="00DB2ECD" w:rsidRPr="00F20CAA" w:rsidP="00A72609" w14:paraId="719A5B93" w14:textId="77777777">
            <w:pPr>
              <w:spacing w:after="120"/>
              <w:jc w:val="center"/>
              <w:rPr>
                <w:rFonts w:cs="Times New Roman"/>
                <w:bCs w:val="0"/>
                <w:color w:val="000000"/>
                <w:kern w:val="0"/>
                <w:szCs w:val="22"/>
              </w:rPr>
            </w:pPr>
            <w:r w:rsidRPr="00F20CAA">
              <w:rPr>
                <w:rFonts w:cs="Times New Roman"/>
                <w:bCs w:val="0"/>
                <w:kern w:val="0"/>
                <w:szCs w:val="22"/>
              </w:rPr>
              <w:t>10</w:t>
            </w:r>
          </w:p>
        </w:tc>
        <w:tc>
          <w:tcPr>
            <w:tcW w:w="810" w:type="dxa"/>
            <w:tcBorders>
              <w:top w:val="nil"/>
              <w:left w:val="nil"/>
              <w:bottom w:val="single" w:sz="4" w:space="0" w:color="auto"/>
              <w:right w:val="single" w:sz="4" w:space="0" w:color="auto"/>
            </w:tcBorders>
            <w:vAlign w:val="bottom"/>
          </w:tcPr>
          <w:p w:rsidR="00DB2ECD" w:rsidRPr="00F20CAA" w:rsidP="00A72609" w14:paraId="49B81375" w14:textId="77777777">
            <w:pPr>
              <w:spacing w:after="120"/>
              <w:jc w:val="center"/>
              <w:rPr>
                <w:rFonts w:cs="Times New Roman"/>
                <w:bCs w:val="0"/>
                <w:color w:val="FF0000"/>
                <w:kern w:val="0"/>
                <w:szCs w:val="22"/>
              </w:rPr>
            </w:pPr>
            <w:r w:rsidRPr="00F20CAA">
              <w:rPr>
                <w:rFonts w:cs="Times New Roman"/>
                <w:bCs w:val="0"/>
                <w:kern w:val="0"/>
                <w:szCs w:val="22"/>
              </w:rPr>
              <w:t>1.</w:t>
            </w:r>
            <w:r w:rsidRPr="00F20CAA" w:rsidR="00F20CAA">
              <w:rPr>
                <w:rFonts w:cs="Times New Roman"/>
                <w:bCs w:val="0"/>
                <w:kern w:val="0"/>
                <w:szCs w:val="22"/>
              </w:rPr>
              <w:t>3</w:t>
            </w:r>
            <w:r w:rsidRPr="00F20CAA" w:rsidR="00033051">
              <w:rPr>
                <w:rFonts w:cs="Times New Roman"/>
                <w:bCs w:val="0"/>
                <w:kern w:val="0"/>
                <w:szCs w:val="22"/>
              </w:rPr>
              <w:t>%</w:t>
            </w:r>
          </w:p>
        </w:tc>
        <w:tc>
          <w:tcPr>
            <w:tcW w:w="810" w:type="dxa"/>
            <w:tcBorders>
              <w:top w:val="nil"/>
              <w:left w:val="nil"/>
              <w:bottom w:val="single" w:sz="4" w:space="0" w:color="auto"/>
              <w:right w:val="single" w:sz="4" w:space="0" w:color="auto"/>
            </w:tcBorders>
            <w:vAlign w:val="bottom"/>
          </w:tcPr>
          <w:p w:rsidR="00DB2ECD" w:rsidRPr="00F20CAA" w:rsidP="00A72609" w14:paraId="35CF5B07" w14:textId="77777777">
            <w:pPr>
              <w:spacing w:after="120"/>
              <w:jc w:val="center"/>
              <w:rPr>
                <w:rFonts w:cs="Times New Roman"/>
                <w:bCs w:val="0"/>
                <w:color w:val="000000"/>
                <w:kern w:val="0"/>
                <w:szCs w:val="22"/>
              </w:rPr>
            </w:pPr>
            <w:r w:rsidRPr="00F20CAA">
              <w:rPr>
                <w:rFonts w:cs="Times New Roman"/>
                <w:bCs w:val="0"/>
                <w:kern w:val="0"/>
                <w:szCs w:val="22"/>
              </w:rPr>
              <w:t>34</w:t>
            </w:r>
          </w:p>
        </w:tc>
        <w:tc>
          <w:tcPr>
            <w:tcW w:w="810" w:type="dxa"/>
            <w:tcBorders>
              <w:top w:val="nil"/>
              <w:left w:val="nil"/>
              <w:bottom w:val="single" w:sz="4" w:space="0" w:color="auto"/>
              <w:right w:val="single" w:sz="4" w:space="0" w:color="auto"/>
            </w:tcBorders>
            <w:vAlign w:val="bottom"/>
          </w:tcPr>
          <w:p w:rsidR="00DB2ECD" w:rsidRPr="00F20CAA" w:rsidP="00A72609" w14:paraId="6EE3E81E" w14:textId="77777777">
            <w:pPr>
              <w:spacing w:after="120"/>
              <w:jc w:val="center"/>
              <w:rPr>
                <w:rFonts w:cs="Times New Roman"/>
                <w:bCs w:val="0"/>
                <w:color w:val="000000"/>
                <w:kern w:val="0"/>
                <w:szCs w:val="22"/>
              </w:rPr>
            </w:pPr>
            <w:r w:rsidRPr="00F20CAA">
              <w:rPr>
                <w:rFonts w:cs="Times New Roman"/>
                <w:bCs w:val="0"/>
                <w:color w:val="000000"/>
                <w:kern w:val="0"/>
                <w:szCs w:val="22"/>
              </w:rPr>
              <w:t>4.</w:t>
            </w:r>
            <w:r w:rsidRPr="00F20CAA" w:rsidR="00F20CAA">
              <w:rPr>
                <w:rFonts w:cs="Times New Roman"/>
                <w:bCs w:val="0"/>
                <w:color w:val="000000"/>
                <w:kern w:val="0"/>
                <w:szCs w:val="22"/>
              </w:rPr>
              <w:t>3</w:t>
            </w:r>
            <w:r w:rsidRPr="00F20CAA" w:rsidR="00033051">
              <w:rPr>
                <w:rFonts w:cs="Times New Roman"/>
                <w:bCs w:val="0"/>
                <w:color w:val="000000"/>
                <w:kern w:val="0"/>
                <w:szCs w:val="22"/>
              </w:rPr>
              <w:t>%</w:t>
            </w:r>
          </w:p>
        </w:tc>
        <w:tc>
          <w:tcPr>
            <w:tcW w:w="810" w:type="dxa"/>
            <w:tcBorders>
              <w:top w:val="nil"/>
              <w:left w:val="nil"/>
              <w:bottom w:val="single" w:sz="4" w:space="0" w:color="auto"/>
              <w:right w:val="single" w:sz="4" w:space="0" w:color="auto"/>
            </w:tcBorders>
            <w:vAlign w:val="bottom"/>
          </w:tcPr>
          <w:p w:rsidR="00DB2ECD" w:rsidRPr="00F20CAA" w:rsidP="00A72609" w14:paraId="384CB92A" w14:textId="77777777">
            <w:pPr>
              <w:spacing w:after="120"/>
              <w:jc w:val="center"/>
              <w:rPr>
                <w:rFonts w:cs="Times New Roman"/>
                <w:bCs w:val="0"/>
                <w:color w:val="000000"/>
                <w:kern w:val="0"/>
                <w:szCs w:val="22"/>
              </w:rPr>
            </w:pPr>
            <w:r w:rsidRPr="00F20CAA">
              <w:rPr>
                <w:rFonts w:cs="Times New Roman"/>
                <w:bCs w:val="0"/>
                <w:kern w:val="0"/>
                <w:szCs w:val="22"/>
              </w:rPr>
              <w:t>7</w:t>
            </w:r>
            <w:r w:rsidRPr="00F20CAA" w:rsidR="004720B2">
              <w:rPr>
                <w:rFonts w:cs="Times New Roman"/>
                <w:bCs w:val="0"/>
                <w:kern w:val="0"/>
                <w:szCs w:val="22"/>
              </w:rPr>
              <w:t>48</w:t>
            </w:r>
          </w:p>
        </w:tc>
        <w:tc>
          <w:tcPr>
            <w:tcW w:w="809" w:type="dxa"/>
            <w:tcBorders>
              <w:top w:val="nil"/>
              <w:left w:val="nil"/>
              <w:bottom w:val="single" w:sz="4" w:space="0" w:color="auto"/>
              <w:right w:val="single" w:sz="4" w:space="0" w:color="auto"/>
            </w:tcBorders>
            <w:vAlign w:val="bottom"/>
          </w:tcPr>
          <w:p w:rsidR="00DB2ECD" w:rsidRPr="007A611B" w:rsidP="00A72609" w14:paraId="72685A3E" w14:textId="77777777">
            <w:pPr>
              <w:spacing w:after="120"/>
              <w:jc w:val="center"/>
              <w:rPr>
                <w:rFonts w:cs="Times New Roman"/>
                <w:bCs w:val="0"/>
                <w:color w:val="FF0000"/>
                <w:kern w:val="0"/>
                <w:szCs w:val="22"/>
              </w:rPr>
            </w:pPr>
            <w:r w:rsidRPr="007A611B">
              <w:rPr>
                <w:rFonts w:cs="Times New Roman"/>
                <w:bCs w:val="0"/>
                <w:kern w:val="0"/>
                <w:szCs w:val="22"/>
              </w:rPr>
              <w:t>94.</w:t>
            </w:r>
            <w:r w:rsidR="00F20CAA">
              <w:rPr>
                <w:rFonts w:cs="Times New Roman"/>
                <w:bCs w:val="0"/>
                <w:kern w:val="0"/>
                <w:szCs w:val="22"/>
              </w:rPr>
              <w:t>4</w:t>
            </w:r>
            <w:r w:rsidRPr="007A611B" w:rsidR="00033051">
              <w:rPr>
                <w:rFonts w:cs="Times New Roman"/>
                <w:bCs w:val="0"/>
                <w:kern w:val="0"/>
                <w:szCs w:val="22"/>
              </w:rPr>
              <w:t>%</w:t>
            </w:r>
          </w:p>
        </w:tc>
      </w:tr>
    </w:tbl>
    <w:p w:rsidR="00FE446B" w:rsidP="00A0777D" w14:paraId="467B9349" w14:textId="77777777">
      <w:pPr>
        <w:pStyle w:val="Heading2"/>
        <w:numPr>
          <w:ilvl w:val="0"/>
          <w:numId w:val="0"/>
        </w:numPr>
        <w:ind w:left="1627"/>
      </w:pPr>
      <w:bookmarkStart w:id="106" w:name="_Toc507772166"/>
      <w:bookmarkStart w:id="107" w:name="_Toc507772553"/>
      <w:bookmarkStart w:id="108" w:name="_Toc508315391"/>
      <w:bookmarkStart w:id="109" w:name="_Toc508315978"/>
      <w:bookmarkStart w:id="110" w:name="_Toc511290791"/>
      <w:bookmarkStart w:id="111" w:name="_Toc511291583"/>
    </w:p>
    <w:p w:rsidR="00703FE6" w14:paraId="0AD82D6E" w14:textId="77777777">
      <w:pPr>
        <w:rPr>
          <w:b/>
          <w:szCs w:val="22"/>
          <w:u w:val="single"/>
        </w:rPr>
      </w:pPr>
      <w:r>
        <w:br w:type="page"/>
      </w:r>
    </w:p>
    <w:p w:rsidR="00DB2ECD" w:rsidRPr="00B57342" w:rsidP="00A0777D" w14:paraId="0DCE267F" w14:textId="137501F1">
      <w:pPr>
        <w:pStyle w:val="Heading2"/>
      </w:pPr>
      <w:bookmarkStart w:id="112" w:name="_Toc5614034"/>
      <w:r w:rsidRPr="00B57342">
        <w:t>Participants by EAS Designation</w:t>
      </w:r>
      <w:bookmarkEnd w:id="106"/>
      <w:bookmarkEnd w:id="107"/>
      <w:bookmarkEnd w:id="108"/>
      <w:bookmarkEnd w:id="109"/>
      <w:bookmarkEnd w:id="110"/>
      <w:bookmarkEnd w:id="111"/>
      <w:bookmarkEnd w:id="112"/>
    </w:p>
    <w:p w:rsidR="00DB2ECD" w:rsidRPr="00B57342" w:rsidP="00FE446B" w14:paraId="38A79AD9" w14:textId="2EEA32D0">
      <w:pPr>
        <w:pStyle w:val="ParaNum"/>
        <w:numPr>
          <w:ilvl w:val="0"/>
          <w:numId w:val="0"/>
        </w:numPr>
        <w:spacing w:before="120" w:after="0"/>
        <w:rPr>
          <w:rFonts w:cs="Times New Roman"/>
          <w:b/>
          <w:szCs w:val="22"/>
        </w:rPr>
      </w:pPr>
      <w:r w:rsidRPr="00B57342">
        <w:rPr>
          <w:rFonts w:cs="Times New Roman"/>
          <w:szCs w:val="22"/>
        </w:rPr>
        <w:t xml:space="preserve">ETRS Form One asked EAS Participants to identify the EAS designations assigned to them by their State EAS Plan.  </w:t>
      </w:r>
      <w:r w:rsidRPr="00FE446B">
        <w:rPr>
          <w:rFonts w:cs="Times New Roman"/>
          <w:b/>
          <w:szCs w:val="22"/>
        </w:rPr>
        <w:t>Table 4</w:t>
      </w:r>
      <w:r w:rsidRPr="00B57342">
        <w:rPr>
          <w:rFonts w:cs="Times New Roman"/>
          <w:szCs w:val="22"/>
        </w:rPr>
        <w:t xml:space="preserve"> provides the reported EAS designations of all test participants by participant type.</w:t>
      </w:r>
      <w:r>
        <w:rPr>
          <w:rStyle w:val="FootnoteReference"/>
          <w:szCs w:val="22"/>
        </w:rPr>
        <w:footnoteReference w:id="58"/>
      </w:r>
      <w:r w:rsidRPr="00B57342">
        <w:rPr>
          <w:rFonts w:cs="Times New Roman"/>
          <w:szCs w:val="22"/>
        </w:rPr>
        <w:t xml:space="preserve">  Although a number of test participants continue to incorrectly report their participant type, this number decrease</w:t>
      </w:r>
      <w:r w:rsidR="00080CF2">
        <w:rPr>
          <w:rFonts w:cs="Times New Roman"/>
          <w:szCs w:val="22"/>
        </w:rPr>
        <w:t>d</w:t>
      </w:r>
      <w:r w:rsidRPr="00B57342">
        <w:rPr>
          <w:rFonts w:cs="Times New Roman"/>
          <w:szCs w:val="22"/>
        </w:rPr>
        <w:t xml:space="preserve"> from that reported after the 201</w:t>
      </w:r>
      <w:r w:rsidR="004250A8">
        <w:rPr>
          <w:rFonts w:cs="Times New Roman"/>
          <w:szCs w:val="22"/>
        </w:rPr>
        <w:t>7</w:t>
      </w:r>
      <w:r w:rsidRPr="00B57342">
        <w:rPr>
          <w:rFonts w:cs="Times New Roman"/>
          <w:szCs w:val="22"/>
        </w:rPr>
        <w:t xml:space="preserve"> </w:t>
      </w:r>
      <w:r w:rsidR="007500C6">
        <w:rPr>
          <w:rFonts w:cs="Times New Roman"/>
          <w:szCs w:val="22"/>
        </w:rPr>
        <w:t>n</w:t>
      </w:r>
      <w:r w:rsidRPr="00B57342">
        <w:rPr>
          <w:rFonts w:cs="Times New Roman"/>
          <w:szCs w:val="22"/>
        </w:rPr>
        <w:t xml:space="preserve">ationwide </w:t>
      </w:r>
      <w:r w:rsidR="00060B33">
        <w:rPr>
          <w:rFonts w:cs="Times New Roman"/>
          <w:szCs w:val="22"/>
        </w:rPr>
        <w:t xml:space="preserve">EAS </w:t>
      </w:r>
      <w:r w:rsidR="007500C6">
        <w:rPr>
          <w:rFonts w:cs="Times New Roman"/>
          <w:szCs w:val="22"/>
        </w:rPr>
        <w:t>t</w:t>
      </w:r>
      <w:r w:rsidRPr="00B57342">
        <w:rPr>
          <w:rFonts w:cs="Times New Roman"/>
          <w:szCs w:val="22"/>
        </w:rPr>
        <w:t xml:space="preserve">est.  For example, </w:t>
      </w:r>
      <w:r w:rsidR="00CE19B1">
        <w:rPr>
          <w:rFonts w:cs="Times New Roman"/>
          <w:szCs w:val="22"/>
        </w:rPr>
        <w:t>5</w:t>
      </w:r>
      <w:r w:rsidR="00736673">
        <w:rPr>
          <w:rFonts w:cs="Times New Roman"/>
          <w:szCs w:val="22"/>
        </w:rPr>
        <w:t>39</w:t>
      </w:r>
      <w:r w:rsidRPr="00B57342">
        <w:rPr>
          <w:rFonts w:cs="Times New Roman"/>
          <w:szCs w:val="22"/>
        </w:rPr>
        <w:t xml:space="preserve"> test participants reported that they served as National Primary (Primary Entry Point</w:t>
      </w:r>
      <w:r w:rsidR="00C65AA8">
        <w:rPr>
          <w:rFonts w:cs="Times New Roman"/>
          <w:szCs w:val="22"/>
        </w:rPr>
        <w:t xml:space="preserve"> or PEP</w:t>
      </w:r>
      <w:r w:rsidRPr="00B57342">
        <w:rPr>
          <w:rFonts w:cs="Times New Roman"/>
          <w:szCs w:val="22"/>
        </w:rPr>
        <w:t>) stations,</w:t>
      </w:r>
      <w:r>
        <w:rPr>
          <w:rStyle w:val="FootnoteReference"/>
          <w:szCs w:val="22"/>
        </w:rPr>
        <w:footnoteReference w:id="59"/>
      </w:r>
      <w:r w:rsidRPr="00B57342">
        <w:rPr>
          <w:rFonts w:cs="Times New Roman"/>
          <w:szCs w:val="22"/>
        </w:rPr>
        <w:t xml:space="preserve"> which are the source of EAS Presidential messages, which is down from the 5</w:t>
      </w:r>
      <w:r w:rsidR="004250A8">
        <w:rPr>
          <w:rFonts w:cs="Times New Roman"/>
          <w:szCs w:val="22"/>
        </w:rPr>
        <w:t>4</w:t>
      </w:r>
      <w:r w:rsidR="00736673">
        <w:rPr>
          <w:rFonts w:cs="Times New Roman"/>
          <w:szCs w:val="22"/>
        </w:rPr>
        <w:t>3</w:t>
      </w:r>
      <w:r w:rsidRPr="00B57342">
        <w:rPr>
          <w:rFonts w:cs="Times New Roman"/>
          <w:szCs w:val="22"/>
        </w:rPr>
        <w:t xml:space="preserve"> test participants that reported as such in 201</w:t>
      </w:r>
      <w:r w:rsidR="004250A8">
        <w:rPr>
          <w:rFonts w:cs="Times New Roman"/>
          <w:szCs w:val="22"/>
        </w:rPr>
        <w:t>7</w:t>
      </w:r>
      <w:r>
        <w:rPr>
          <w:rStyle w:val="FootnoteReference"/>
          <w:szCs w:val="22"/>
        </w:rPr>
        <w:footnoteReference w:id="60"/>
      </w:r>
      <w:r w:rsidRPr="00B57342">
        <w:rPr>
          <w:rFonts w:cs="Times New Roman"/>
          <w:szCs w:val="22"/>
        </w:rPr>
        <w:t xml:space="preserve"> </w:t>
      </w:r>
      <w:r w:rsidR="004250A8">
        <w:rPr>
          <w:rFonts w:cs="Times New Roman"/>
          <w:szCs w:val="22"/>
        </w:rPr>
        <w:t>and 567 reported in 2016.</w:t>
      </w:r>
      <w:r>
        <w:rPr>
          <w:rStyle w:val="FootnoteReference"/>
          <w:szCs w:val="22"/>
        </w:rPr>
        <w:footnoteReference w:id="61"/>
      </w:r>
      <w:r w:rsidR="004250A8">
        <w:rPr>
          <w:rFonts w:cs="Times New Roman"/>
          <w:szCs w:val="22"/>
        </w:rPr>
        <w:t xml:space="preserve"> </w:t>
      </w:r>
      <w:r w:rsidRPr="00B57342">
        <w:rPr>
          <w:rFonts w:cs="Times New Roman"/>
          <w:szCs w:val="22"/>
        </w:rPr>
        <w:t xml:space="preserve"> However, according to FEMA, there are only 77 Primary Entry Point stations nationwide.  </w:t>
      </w:r>
      <w:r w:rsidR="00A2608B">
        <w:rPr>
          <w:rFonts w:cs="Times New Roman"/>
          <w:szCs w:val="22"/>
        </w:rPr>
        <w:t>23</w:t>
      </w:r>
      <w:r w:rsidR="009A4610">
        <w:rPr>
          <w:rFonts w:cs="Times New Roman"/>
          <w:szCs w:val="22"/>
        </w:rPr>
        <w:t>0</w:t>
      </w:r>
      <w:r w:rsidRPr="00B57342">
        <w:rPr>
          <w:rFonts w:cs="Times New Roman"/>
          <w:szCs w:val="22"/>
        </w:rPr>
        <w:t xml:space="preserve"> test participants reported that they served as state primary stations, </w:t>
      </w:r>
      <w:r w:rsidRPr="00B57342" w:rsidR="00D45CD6">
        <w:rPr>
          <w:rFonts w:cs="Times New Roman"/>
          <w:szCs w:val="22"/>
        </w:rPr>
        <w:t>wh</w:t>
      </w:r>
      <w:r w:rsidR="00D45CD6">
        <w:rPr>
          <w:rFonts w:cs="Times New Roman"/>
          <w:szCs w:val="22"/>
        </w:rPr>
        <w:t>ile</w:t>
      </w:r>
      <w:r w:rsidRPr="00B57342" w:rsidR="00D45CD6">
        <w:rPr>
          <w:rFonts w:cs="Times New Roman"/>
          <w:szCs w:val="22"/>
        </w:rPr>
        <w:t xml:space="preserve"> </w:t>
      </w:r>
      <w:r w:rsidR="009A4610">
        <w:rPr>
          <w:rFonts w:cs="Times New Roman"/>
          <w:szCs w:val="22"/>
        </w:rPr>
        <w:t>237</w:t>
      </w:r>
      <w:r w:rsidRPr="00B57342">
        <w:rPr>
          <w:rFonts w:cs="Times New Roman"/>
          <w:szCs w:val="22"/>
        </w:rPr>
        <w:t xml:space="preserve"> test participants reported as such at the time of the 201</w:t>
      </w:r>
      <w:r w:rsidR="009A4610">
        <w:rPr>
          <w:rFonts w:cs="Times New Roman"/>
          <w:szCs w:val="22"/>
        </w:rPr>
        <w:t>7</w:t>
      </w:r>
      <w:r w:rsidRPr="00B57342">
        <w:rPr>
          <w:rFonts w:cs="Times New Roman"/>
          <w:szCs w:val="22"/>
        </w:rPr>
        <w:t xml:space="preserve"> </w:t>
      </w:r>
      <w:r w:rsidR="007500C6">
        <w:rPr>
          <w:rFonts w:cs="Times New Roman"/>
          <w:szCs w:val="22"/>
        </w:rPr>
        <w:t>n</w:t>
      </w:r>
      <w:r w:rsidRPr="00B57342">
        <w:rPr>
          <w:rFonts w:cs="Times New Roman"/>
          <w:szCs w:val="22"/>
        </w:rPr>
        <w:t xml:space="preserve">ationwide </w:t>
      </w:r>
      <w:r w:rsidR="00D15B51">
        <w:rPr>
          <w:rFonts w:cs="Times New Roman"/>
          <w:szCs w:val="22"/>
        </w:rPr>
        <w:t xml:space="preserve">EAS </w:t>
      </w:r>
      <w:r w:rsidR="007500C6">
        <w:rPr>
          <w:rFonts w:cs="Times New Roman"/>
          <w:szCs w:val="22"/>
        </w:rPr>
        <w:t>t</w:t>
      </w:r>
      <w:r w:rsidRPr="00B57342">
        <w:rPr>
          <w:rFonts w:cs="Times New Roman"/>
          <w:szCs w:val="22"/>
        </w:rPr>
        <w:t>est.</w:t>
      </w:r>
      <w:r>
        <w:rPr>
          <w:rStyle w:val="FootnoteReference"/>
          <w:szCs w:val="22"/>
        </w:rPr>
        <w:footnoteReference w:id="62"/>
      </w:r>
      <w:r w:rsidRPr="00B57342">
        <w:rPr>
          <w:rFonts w:cs="Times New Roman"/>
          <w:szCs w:val="22"/>
        </w:rPr>
        <w:t xml:space="preserve">  This data suggests that test participants better understand their role in the EAS than they did in 201</w:t>
      </w:r>
      <w:r w:rsidR="00D15B51">
        <w:rPr>
          <w:rFonts w:cs="Times New Roman"/>
          <w:szCs w:val="22"/>
        </w:rPr>
        <w:t>7</w:t>
      </w:r>
      <w:r w:rsidR="00AA62D5">
        <w:rPr>
          <w:rFonts w:cs="Times New Roman"/>
          <w:szCs w:val="22"/>
        </w:rPr>
        <w:t>, but there is still room for improvement</w:t>
      </w:r>
      <w:r w:rsidRPr="00B57342">
        <w:rPr>
          <w:rFonts w:cs="Times New Roman"/>
          <w:szCs w:val="22"/>
        </w:rPr>
        <w:t>.</w:t>
      </w:r>
      <w:r w:rsidR="00D47B6A">
        <w:rPr>
          <w:rFonts w:cs="Times New Roman"/>
          <w:szCs w:val="22"/>
        </w:rPr>
        <w:t xml:space="preserve">  </w:t>
      </w:r>
    </w:p>
    <w:p w:rsidR="00DB2ECD" w:rsidRPr="00B57342" w:rsidP="00DB2ECD" w14:paraId="10EC3FF7" w14:textId="77777777">
      <w:pPr>
        <w:pStyle w:val="ParaNum"/>
        <w:keepNext/>
        <w:keepLines/>
        <w:numPr>
          <w:ilvl w:val="0"/>
          <w:numId w:val="0"/>
        </w:numPr>
        <w:rPr>
          <w:rFonts w:cs="Times New Roman"/>
          <w:b/>
          <w:szCs w:val="22"/>
        </w:rPr>
      </w:pPr>
      <w:r w:rsidRPr="00B57342">
        <w:rPr>
          <w:rFonts w:cs="Times New Roman"/>
          <w:b/>
          <w:szCs w:val="22"/>
        </w:rPr>
        <w:t>Table 4. EAS Designation by Participant Type</w:t>
      </w:r>
      <w:r>
        <w:rPr>
          <w:rStyle w:val="FootnoteReference"/>
          <w:b/>
          <w:szCs w:val="22"/>
        </w:rPr>
        <w:footnoteReference w:id="63"/>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6"/>
        <w:gridCol w:w="1268"/>
        <w:gridCol w:w="1266"/>
        <w:gridCol w:w="1207"/>
        <w:gridCol w:w="1266"/>
        <w:gridCol w:w="1266"/>
        <w:gridCol w:w="1451"/>
      </w:tblGrid>
      <w:tr w14:paraId="1D9A8AB0" w14:textId="77777777" w:rsidTr="007D3A0F">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636" w:type="dxa"/>
            <w:shd w:val="clear" w:color="auto" w:fill="BFBFBF" w:themeFill="background1" w:themeFillShade="BF"/>
            <w:vAlign w:val="bottom"/>
          </w:tcPr>
          <w:p w:rsidR="00DB1669" w:rsidRPr="00B57342" w:rsidP="00DB1669" w14:paraId="525EA4FF" w14:textId="77777777">
            <w:pPr>
              <w:keepNext/>
              <w:keepLines/>
              <w:spacing w:after="120"/>
              <w:jc w:val="center"/>
              <w:rPr>
                <w:rFonts w:cs="Times New Roman"/>
                <w:szCs w:val="22"/>
              </w:rPr>
            </w:pPr>
            <w:bookmarkStart w:id="113" w:name="_Toc507772167"/>
            <w:bookmarkStart w:id="114" w:name="_Toc507772554"/>
            <w:bookmarkStart w:id="115" w:name="_Toc507772169"/>
            <w:bookmarkStart w:id="116" w:name="_Toc507772556"/>
            <w:bookmarkStart w:id="117" w:name="_Toc507772179"/>
            <w:bookmarkStart w:id="118" w:name="_Toc507772566"/>
            <w:bookmarkStart w:id="119" w:name="_Toc507772234"/>
            <w:bookmarkStart w:id="120" w:name="_Toc507772621"/>
            <w:bookmarkStart w:id="121" w:name="_Toc507772236"/>
            <w:bookmarkStart w:id="122" w:name="_Toc507772623"/>
            <w:bookmarkStart w:id="123" w:name="_Toc507772318"/>
            <w:bookmarkStart w:id="124" w:name="_Toc507772705"/>
            <w:bookmarkStart w:id="125" w:name="_Toc477433269"/>
            <w:bookmarkEnd w:id="113"/>
            <w:bookmarkEnd w:id="114"/>
            <w:bookmarkEnd w:id="115"/>
            <w:bookmarkEnd w:id="116"/>
            <w:bookmarkEnd w:id="117"/>
            <w:bookmarkEnd w:id="118"/>
            <w:bookmarkEnd w:id="119"/>
            <w:bookmarkEnd w:id="120"/>
            <w:bookmarkEnd w:id="121"/>
            <w:bookmarkEnd w:id="122"/>
            <w:bookmarkEnd w:id="123"/>
            <w:bookmarkEnd w:id="124"/>
            <w:r w:rsidRPr="00B57342">
              <w:rPr>
                <w:rFonts w:cs="Times New Roman"/>
                <w:b/>
                <w:color w:val="000000"/>
                <w:kern w:val="0"/>
                <w:szCs w:val="22"/>
              </w:rPr>
              <w:t>EAS Participant Type</w:t>
            </w:r>
          </w:p>
        </w:tc>
        <w:tc>
          <w:tcPr>
            <w:tcW w:w="1268" w:type="dxa"/>
            <w:shd w:val="clear" w:color="auto" w:fill="BFBFBF" w:themeFill="background1" w:themeFillShade="BF"/>
            <w:vAlign w:val="bottom"/>
          </w:tcPr>
          <w:p w:rsidR="00DB1669" w:rsidRPr="00B57342" w:rsidP="00DB1669" w14:paraId="13ECA24E" w14:textId="77777777">
            <w:pPr>
              <w:keepNext/>
              <w:keepLines/>
              <w:spacing w:after="120"/>
              <w:jc w:val="center"/>
              <w:rPr>
                <w:rFonts w:cs="Times New Roman"/>
                <w:b/>
                <w:szCs w:val="22"/>
              </w:rPr>
            </w:pPr>
            <w:r w:rsidRPr="00B57342">
              <w:rPr>
                <w:rFonts w:cs="Times New Roman"/>
                <w:b/>
                <w:bCs w:val="0"/>
                <w:color w:val="000000"/>
                <w:kern w:val="0"/>
                <w:szCs w:val="22"/>
              </w:rPr>
              <w:t>National Primary (NP)</w:t>
            </w:r>
          </w:p>
        </w:tc>
        <w:tc>
          <w:tcPr>
            <w:tcW w:w="1266" w:type="dxa"/>
            <w:shd w:val="clear" w:color="auto" w:fill="BFBFBF" w:themeFill="background1" w:themeFillShade="BF"/>
            <w:vAlign w:val="bottom"/>
          </w:tcPr>
          <w:p w:rsidR="00DB1669" w:rsidRPr="00B57342" w:rsidP="00DB1669" w14:paraId="781B51BD" w14:textId="77777777">
            <w:pPr>
              <w:keepNext/>
              <w:keepLines/>
              <w:spacing w:after="120"/>
              <w:jc w:val="center"/>
              <w:rPr>
                <w:rFonts w:cs="Times New Roman"/>
                <w:b/>
                <w:szCs w:val="22"/>
              </w:rPr>
            </w:pPr>
            <w:r w:rsidRPr="00B57342">
              <w:rPr>
                <w:rFonts w:cs="Times New Roman"/>
                <w:b/>
                <w:bCs w:val="0"/>
                <w:color w:val="000000"/>
                <w:kern w:val="0"/>
                <w:szCs w:val="22"/>
              </w:rPr>
              <w:t>State Primary (SP)</w:t>
            </w:r>
          </w:p>
        </w:tc>
        <w:tc>
          <w:tcPr>
            <w:tcW w:w="1207" w:type="dxa"/>
            <w:shd w:val="clear" w:color="auto" w:fill="BFBFBF" w:themeFill="background1" w:themeFillShade="BF"/>
            <w:vAlign w:val="bottom"/>
          </w:tcPr>
          <w:p w:rsidR="00DB1669" w:rsidRPr="00B57342" w:rsidP="00DB1669" w14:paraId="4B1BC3D5" w14:textId="77777777">
            <w:pPr>
              <w:keepNext/>
              <w:keepLines/>
              <w:spacing w:after="120"/>
              <w:jc w:val="center"/>
              <w:rPr>
                <w:rFonts w:cs="Times New Roman"/>
                <w:b/>
                <w:szCs w:val="22"/>
              </w:rPr>
            </w:pPr>
            <w:r w:rsidRPr="00B57342">
              <w:rPr>
                <w:rFonts w:cs="Times New Roman"/>
                <w:b/>
                <w:bCs w:val="0"/>
                <w:color w:val="000000"/>
                <w:kern w:val="0"/>
                <w:szCs w:val="22"/>
              </w:rPr>
              <w:t>State Relay (SR)</w:t>
            </w:r>
          </w:p>
        </w:tc>
        <w:tc>
          <w:tcPr>
            <w:tcW w:w="1266" w:type="dxa"/>
            <w:shd w:val="clear" w:color="auto" w:fill="BFBFBF" w:themeFill="background1" w:themeFillShade="BF"/>
            <w:vAlign w:val="bottom"/>
          </w:tcPr>
          <w:p w:rsidR="00DB1669" w:rsidRPr="00B57342" w:rsidP="00DB1669" w14:paraId="0334AC1B" w14:textId="77777777">
            <w:pPr>
              <w:keepNext/>
              <w:keepLines/>
              <w:spacing w:after="120"/>
              <w:jc w:val="center"/>
              <w:rPr>
                <w:rFonts w:cs="Times New Roman"/>
                <w:b/>
                <w:szCs w:val="22"/>
              </w:rPr>
            </w:pPr>
            <w:r w:rsidRPr="00B57342">
              <w:rPr>
                <w:rFonts w:cs="Times New Roman"/>
                <w:b/>
                <w:bCs w:val="0"/>
                <w:color w:val="000000"/>
                <w:kern w:val="0"/>
                <w:szCs w:val="22"/>
              </w:rPr>
              <w:t>Local Primary 1 (LP1)</w:t>
            </w:r>
          </w:p>
        </w:tc>
        <w:tc>
          <w:tcPr>
            <w:tcW w:w="1266" w:type="dxa"/>
            <w:shd w:val="clear" w:color="auto" w:fill="BFBFBF" w:themeFill="background1" w:themeFillShade="BF"/>
            <w:vAlign w:val="bottom"/>
          </w:tcPr>
          <w:p w:rsidR="00DB1669" w:rsidRPr="00B57342" w:rsidP="00DB1669" w14:paraId="16BB469A" w14:textId="77777777">
            <w:pPr>
              <w:keepNext/>
              <w:keepLines/>
              <w:spacing w:after="120"/>
              <w:jc w:val="center"/>
              <w:rPr>
                <w:rFonts w:cs="Times New Roman"/>
                <w:b/>
                <w:szCs w:val="22"/>
              </w:rPr>
            </w:pPr>
            <w:r w:rsidRPr="00B57342">
              <w:rPr>
                <w:rFonts w:cs="Times New Roman"/>
                <w:b/>
                <w:bCs w:val="0"/>
                <w:color w:val="000000"/>
                <w:kern w:val="0"/>
                <w:szCs w:val="22"/>
              </w:rPr>
              <w:t>Local Primary 2 (LP2)</w:t>
            </w:r>
          </w:p>
        </w:tc>
        <w:tc>
          <w:tcPr>
            <w:tcW w:w="1451" w:type="dxa"/>
            <w:shd w:val="clear" w:color="auto" w:fill="BFBFBF" w:themeFill="background1" w:themeFillShade="BF"/>
            <w:vAlign w:val="bottom"/>
          </w:tcPr>
          <w:p w:rsidR="00DB1669" w:rsidRPr="00B57342" w:rsidP="00DB1669" w14:paraId="29903DAB" w14:textId="77777777">
            <w:pPr>
              <w:keepNext/>
              <w:keepLines/>
              <w:spacing w:after="120"/>
              <w:jc w:val="center"/>
              <w:rPr>
                <w:rFonts w:cs="Times New Roman"/>
                <w:b/>
                <w:szCs w:val="22"/>
              </w:rPr>
            </w:pPr>
            <w:r w:rsidRPr="00B57342">
              <w:rPr>
                <w:rFonts w:cs="Times New Roman"/>
                <w:b/>
                <w:bCs w:val="0"/>
                <w:color w:val="000000"/>
                <w:kern w:val="0"/>
                <w:szCs w:val="22"/>
              </w:rPr>
              <w:t>Participating National (PN)</w:t>
            </w:r>
          </w:p>
        </w:tc>
      </w:tr>
      <w:tr w14:paraId="21C0DA83" w14:textId="77777777" w:rsidTr="007D3A0F">
        <w:tblPrEx>
          <w:tblW w:w="9360" w:type="dxa"/>
          <w:tblLook w:val="00A0"/>
        </w:tblPrEx>
        <w:tc>
          <w:tcPr>
            <w:tcW w:w="1636" w:type="dxa"/>
            <w:vAlign w:val="bottom"/>
          </w:tcPr>
          <w:p w:rsidR="007D3A0F" w:rsidRPr="00B57342" w:rsidP="007D3A0F" w14:paraId="4CC732F1" w14:textId="77777777">
            <w:pPr>
              <w:keepNext/>
              <w:keepLines/>
              <w:spacing w:after="120"/>
              <w:jc w:val="right"/>
              <w:rPr>
                <w:rFonts w:cs="Times New Roman"/>
                <w:szCs w:val="22"/>
              </w:rPr>
            </w:pPr>
            <w:r w:rsidRPr="00B57342">
              <w:rPr>
                <w:rFonts w:cs="Times New Roman"/>
                <w:color w:val="000000"/>
                <w:kern w:val="0"/>
                <w:szCs w:val="22"/>
              </w:rPr>
              <w:t>Radio Broadcasters</w:t>
            </w:r>
          </w:p>
        </w:tc>
        <w:tc>
          <w:tcPr>
            <w:tcW w:w="1268" w:type="dxa"/>
            <w:vAlign w:val="bottom"/>
          </w:tcPr>
          <w:p w:rsidR="007D3A0F" w:rsidRPr="007D3A0F" w:rsidP="007D3A0F" w14:paraId="10FA1973" w14:textId="77777777">
            <w:pPr>
              <w:keepNext/>
              <w:keepLines/>
              <w:spacing w:after="120"/>
              <w:jc w:val="center"/>
              <w:rPr>
                <w:rFonts w:cs="Times New Roman"/>
                <w:szCs w:val="22"/>
              </w:rPr>
            </w:pPr>
            <w:r w:rsidRPr="007D3A0F">
              <w:rPr>
                <w:rFonts w:cs="Times New Roman"/>
                <w:szCs w:val="22"/>
              </w:rPr>
              <w:t>305</w:t>
            </w:r>
          </w:p>
        </w:tc>
        <w:tc>
          <w:tcPr>
            <w:tcW w:w="1266" w:type="dxa"/>
            <w:vAlign w:val="bottom"/>
          </w:tcPr>
          <w:p w:rsidR="007D3A0F" w:rsidRPr="007D3A0F" w:rsidP="007D3A0F" w14:paraId="65AF18B5" w14:textId="77777777">
            <w:pPr>
              <w:keepNext/>
              <w:keepLines/>
              <w:spacing w:after="120"/>
              <w:jc w:val="center"/>
              <w:rPr>
                <w:rFonts w:cs="Times New Roman"/>
                <w:szCs w:val="22"/>
              </w:rPr>
            </w:pPr>
            <w:r w:rsidRPr="007D3A0F">
              <w:rPr>
                <w:rFonts w:cs="Times New Roman"/>
                <w:szCs w:val="22"/>
              </w:rPr>
              <w:t>147</w:t>
            </w:r>
          </w:p>
        </w:tc>
        <w:tc>
          <w:tcPr>
            <w:tcW w:w="1207" w:type="dxa"/>
            <w:vAlign w:val="bottom"/>
          </w:tcPr>
          <w:p w:rsidR="007D3A0F" w:rsidRPr="007D3A0F" w:rsidP="007D3A0F" w14:paraId="0953BFFC" w14:textId="77777777">
            <w:pPr>
              <w:keepNext/>
              <w:keepLines/>
              <w:spacing w:after="120"/>
              <w:jc w:val="center"/>
              <w:rPr>
                <w:rFonts w:cs="Times New Roman"/>
                <w:szCs w:val="22"/>
              </w:rPr>
            </w:pPr>
            <w:r w:rsidRPr="007D3A0F">
              <w:rPr>
                <w:rFonts w:cs="Times New Roman"/>
                <w:szCs w:val="22"/>
              </w:rPr>
              <w:t>854</w:t>
            </w:r>
          </w:p>
        </w:tc>
        <w:tc>
          <w:tcPr>
            <w:tcW w:w="1266" w:type="dxa"/>
            <w:vAlign w:val="bottom"/>
          </w:tcPr>
          <w:p w:rsidR="007D3A0F" w:rsidRPr="007D3A0F" w:rsidP="007D3A0F" w14:paraId="6CF8CD0F" w14:textId="77777777">
            <w:pPr>
              <w:keepNext/>
              <w:keepLines/>
              <w:spacing w:after="120"/>
              <w:jc w:val="center"/>
              <w:rPr>
                <w:rFonts w:cs="Times New Roman"/>
                <w:szCs w:val="22"/>
              </w:rPr>
            </w:pPr>
            <w:r w:rsidRPr="007D3A0F">
              <w:rPr>
                <w:rFonts w:cs="Times New Roman"/>
                <w:szCs w:val="22"/>
              </w:rPr>
              <w:t>1040</w:t>
            </w:r>
          </w:p>
        </w:tc>
        <w:tc>
          <w:tcPr>
            <w:tcW w:w="1266" w:type="dxa"/>
            <w:vAlign w:val="bottom"/>
          </w:tcPr>
          <w:p w:rsidR="007D3A0F" w:rsidRPr="007D3A0F" w:rsidP="007D3A0F" w14:paraId="1FDFA03A" w14:textId="77777777">
            <w:pPr>
              <w:keepNext/>
              <w:keepLines/>
              <w:spacing w:after="120"/>
              <w:jc w:val="center"/>
              <w:rPr>
                <w:rFonts w:cs="Times New Roman"/>
                <w:szCs w:val="22"/>
              </w:rPr>
            </w:pPr>
            <w:r w:rsidRPr="007D3A0F">
              <w:rPr>
                <w:rFonts w:cs="Times New Roman"/>
                <w:szCs w:val="22"/>
              </w:rPr>
              <w:t>723</w:t>
            </w:r>
          </w:p>
        </w:tc>
        <w:tc>
          <w:tcPr>
            <w:tcW w:w="1451" w:type="dxa"/>
            <w:vAlign w:val="bottom"/>
          </w:tcPr>
          <w:p w:rsidR="007D3A0F" w:rsidRPr="007D3A0F" w:rsidP="007D3A0F" w14:paraId="61129A93" w14:textId="77777777">
            <w:pPr>
              <w:keepNext/>
              <w:keepLines/>
              <w:spacing w:after="120"/>
              <w:jc w:val="center"/>
              <w:rPr>
                <w:rFonts w:cs="Times New Roman"/>
                <w:szCs w:val="22"/>
              </w:rPr>
            </w:pPr>
            <w:r w:rsidRPr="007D3A0F">
              <w:rPr>
                <w:rFonts w:cs="Times New Roman"/>
                <w:szCs w:val="22"/>
              </w:rPr>
              <w:t>11295</w:t>
            </w:r>
          </w:p>
        </w:tc>
      </w:tr>
      <w:tr w14:paraId="191986B2" w14:textId="77777777" w:rsidTr="007D3A0F">
        <w:tblPrEx>
          <w:tblW w:w="9360" w:type="dxa"/>
          <w:tblLook w:val="00A0"/>
        </w:tblPrEx>
        <w:tc>
          <w:tcPr>
            <w:tcW w:w="1636" w:type="dxa"/>
            <w:vAlign w:val="bottom"/>
          </w:tcPr>
          <w:p w:rsidR="007D3A0F" w:rsidRPr="00B57342" w:rsidP="007D3A0F" w14:paraId="7E8B96A6" w14:textId="77777777">
            <w:pPr>
              <w:keepNext/>
              <w:keepLines/>
              <w:spacing w:after="120"/>
              <w:jc w:val="right"/>
              <w:rPr>
                <w:rFonts w:cs="Times New Roman"/>
                <w:szCs w:val="22"/>
              </w:rPr>
            </w:pPr>
            <w:r w:rsidRPr="00B57342">
              <w:rPr>
                <w:rFonts w:cs="Times New Roman"/>
                <w:color w:val="000000"/>
                <w:kern w:val="0"/>
                <w:szCs w:val="22"/>
              </w:rPr>
              <w:t>Television Broadcasters</w:t>
            </w:r>
          </w:p>
        </w:tc>
        <w:tc>
          <w:tcPr>
            <w:tcW w:w="1268" w:type="dxa"/>
            <w:vAlign w:val="bottom"/>
          </w:tcPr>
          <w:p w:rsidR="007D3A0F" w:rsidRPr="007D3A0F" w:rsidP="007D3A0F" w14:paraId="4C1F4DF3" w14:textId="77777777">
            <w:pPr>
              <w:keepNext/>
              <w:keepLines/>
              <w:spacing w:after="120"/>
              <w:jc w:val="center"/>
              <w:rPr>
                <w:rFonts w:cs="Times New Roman"/>
                <w:szCs w:val="22"/>
              </w:rPr>
            </w:pPr>
            <w:r w:rsidRPr="007D3A0F">
              <w:rPr>
                <w:rFonts w:cs="Times New Roman"/>
                <w:szCs w:val="22"/>
              </w:rPr>
              <w:t>47</w:t>
            </w:r>
          </w:p>
        </w:tc>
        <w:tc>
          <w:tcPr>
            <w:tcW w:w="1266" w:type="dxa"/>
            <w:vAlign w:val="bottom"/>
          </w:tcPr>
          <w:p w:rsidR="007D3A0F" w:rsidRPr="007D3A0F" w:rsidP="007D3A0F" w14:paraId="67FE2FA1" w14:textId="77777777">
            <w:pPr>
              <w:keepNext/>
              <w:keepLines/>
              <w:spacing w:after="120"/>
              <w:jc w:val="center"/>
              <w:rPr>
                <w:rFonts w:cs="Times New Roman"/>
                <w:szCs w:val="22"/>
              </w:rPr>
            </w:pPr>
            <w:r w:rsidRPr="007D3A0F">
              <w:rPr>
                <w:rFonts w:cs="Times New Roman"/>
                <w:szCs w:val="22"/>
              </w:rPr>
              <w:t>25</w:t>
            </w:r>
          </w:p>
        </w:tc>
        <w:tc>
          <w:tcPr>
            <w:tcW w:w="1207" w:type="dxa"/>
            <w:vAlign w:val="bottom"/>
          </w:tcPr>
          <w:p w:rsidR="007D3A0F" w:rsidRPr="007D3A0F" w:rsidP="007D3A0F" w14:paraId="1D7610DA" w14:textId="77777777">
            <w:pPr>
              <w:keepNext/>
              <w:keepLines/>
              <w:spacing w:after="120"/>
              <w:jc w:val="center"/>
              <w:rPr>
                <w:rFonts w:cs="Times New Roman"/>
                <w:szCs w:val="22"/>
              </w:rPr>
            </w:pPr>
            <w:r w:rsidRPr="007D3A0F">
              <w:rPr>
                <w:rFonts w:cs="Times New Roman"/>
                <w:szCs w:val="22"/>
              </w:rPr>
              <w:t>133</w:t>
            </w:r>
          </w:p>
        </w:tc>
        <w:tc>
          <w:tcPr>
            <w:tcW w:w="1266" w:type="dxa"/>
            <w:vAlign w:val="bottom"/>
          </w:tcPr>
          <w:p w:rsidR="007D3A0F" w:rsidRPr="007D3A0F" w:rsidP="007D3A0F" w14:paraId="55713B1C" w14:textId="77777777">
            <w:pPr>
              <w:keepNext/>
              <w:keepLines/>
              <w:spacing w:after="120"/>
              <w:jc w:val="center"/>
              <w:rPr>
                <w:rFonts w:cs="Times New Roman"/>
                <w:szCs w:val="22"/>
              </w:rPr>
            </w:pPr>
            <w:r w:rsidRPr="007D3A0F">
              <w:rPr>
                <w:rFonts w:cs="Times New Roman"/>
                <w:szCs w:val="22"/>
              </w:rPr>
              <w:t>87</w:t>
            </w:r>
          </w:p>
        </w:tc>
        <w:tc>
          <w:tcPr>
            <w:tcW w:w="1266" w:type="dxa"/>
            <w:vAlign w:val="bottom"/>
          </w:tcPr>
          <w:p w:rsidR="007D3A0F" w:rsidRPr="007D3A0F" w:rsidP="007D3A0F" w14:paraId="73F578AF" w14:textId="77777777">
            <w:pPr>
              <w:keepNext/>
              <w:keepLines/>
              <w:spacing w:after="120"/>
              <w:jc w:val="center"/>
              <w:rPr>
                <w:rFonts w:cs="Times New Roman"/>
                <w:szCs w:val="22"/>
              </w:rPr>
            </w:pPr>
            <w:r w:rsidRPr="007D3A0F">
              <w:rPr>
                <w:rFonts w:cs="Times New Roman"/>
                <w:szCs w:val="22"/>
              </w:rPr>
              <w:t>78</w:t>
            </w:r>
          </w:p>
        </w:tc>
        <w:tc>
          <w:tcPr>
            <w:tcW w:w="1451" w:type="dxa"/>
            <w:vAlign w:val="bottom"/>
          </w:tcPr>
          <w:p w:rsidR="007D3A0F" w:rsidRPr="007D3A0F" w:rsidP="007D3A0F" w14:paraId="2B23D7C6" w14:textId="77777777">
            <w:pPr>
              <w:keepNext/>
              <w:keepLines/>
              <w:spacing w:after="120"/>
              <w:jc w:val="center"/>
              <w:rPr>
                <w:rFonts w:cs="Times New Roman"/>
                <w:szCs w:val="22"/>
              </w:rPr>
            </w:pPr>
            <w:r w:rsidRPr="007D3A0F">
              <w:rPr>
                <w:rFonts w:cs="Times New Roman"/>
                <w:szCs w:val="22"/>
              </w:rPr>
              <w:t>23</w:t>
            </w:r>
            <w:r w:rsidR="004250A8">
              <w:rPr>
                <w:rFonts w:cs="Times New Roman"/>
                <w:szCs w:val="22"/>
              </w:rPr>
              <w:t>70</w:t>
            </w:r>
          </w:p>
        </w:tc>
      </w:tr>
      <w:tr w14:paraId="6AE5FCF4" w14:textId="77777777" w:rsidTr="007D3A0F">
        <w:tblPrEx>
          <w:tblW w:w="9360" w:type="dxa"/>
          <w:tblLook w:val="00A0"/>
        </w:tblPrEx>
        <w:tc>
          <w:tcPr>
            <w:tcW w:w="1636" w:type="dxa"/>
            <w:vAlign w:val="bottom"/>
          </w:tcPr>
          <w:p w:rsidR="007D3A0F" w:rsidRPr="00B57342" w:rsidP="007D3A0F" w14:paraId="0351243F" w14:textId="77777777">
            <w:pPr>
              <w:keepNext/>
              <w:keepLines/>
              <w:spacing w:after="120"/>
              <w:jc w:val="right"/>
              <w:rPr>
                <w:rFonts w:cs="Times New Roman"/>
                <w:szCs w:val="22"/>
              </w:rPr>
            </w:pPr>
            <w:r w:rsidRPr="00B57342">
              <w:rPr>
                <w:rFonts w:cs="Times New Roman"/>
                <w:color w:val="000000"/>
                <w:kern w:val="0"/>
                <w:szCs w:val="22"/>
              </w:rPr>
              <w:t>Cable Systems</w:t>
            </w:r>
          </w:p>
        </w:tc>
        <w:tc>
          <w:tcPr>
            <w:tcW w:w="1268" w:type="dxa"/>
            <w:vAlign w:val="bottom"/>
          </w:tcPr>
          <w:p w:rsidR="007D3A0F" w:rsidRPr="007D3A0F" w:rsidP="007D3A0F" w14:paraId="5AE84699" w14:textId="77777777">
            <w:pPr>
              <w:keepNext/>
              <w:keepLines/>
              <w:spacing w:after="120"/>
              <w:jc w:val="center"/>
              <w:rPr>
                <w:rFonts w:cs="Times New Roman"/>
                <w:szCs w:val="22"/>
              </w:rPr>
            </w:pPr>
            <w:r w:rsidRPr="007D3A0F">
              <w:rPr>
                <w:rFonts w:cs="Times New Roman"/>
                <w:szCs w:val="22"/>
              </w:rPr>
              <w:t>167</w:t>
            </w:r>
          </w:p>
        </w:tc>
        <w:tc>
          <w:tcPr>
            <w:tcW w:w="1266" w:type="dxa"/>
            <w:vAlign w:val="bottom"/>
          </w:tcPr>
          <w:p w:rsidR="007D3A0F" w:rsidRPr="007D3A0F" w:rsidP="007D3A0F" w14:paraId="1BE940E4" w14:textId="77777777">
            <w:pPr>
              <w:keepNext/>
              <w:keepLines/>
              <w:spacing w:after="120"/>
              <w:jc w:val="center"/>
              <w:rPr>
                <w:rFonts w:cs="Times New Roman"/>
                <w:szCs w:val="22"/>
              </w:rPr>
            </w:pPr>
            <w:r w:rsidRPr="007D3A0F">
              <w:rPr>
                <w:rFonts w:cs="Times New Roman"/>
                <w:szCs w:val="22"/>
              </w:rPr>
              <w:t>57</w:t>
            </w:r>
          </w:p>
        </w:tc>
        <w:tc>
          <w:tcPr>
            <w:tcW w:w="1207" w:type="dxa"/>
            <w:vAlign w:val="bottom"/>
          </w:tcPr>
          <w:p w:rsidR="007D3A0F" w:rsidRPr="007D3A0F" w:rsidP="007D3A0F" w14:paraId="5E6B251F" w14:textId="77777777">
            <w:pPr>
              <w:keepNext/>
              <w:keepLines/>
              <w:spacing w:after="120"/>
              <w:jc w:val="center"/>
              <w:rPr>
                <w:rFonts w:cs="Times New Roman"/>
                <w:szCs w:val="22"/>
              </w:rPr>
            </w:pPr>
            <w:r w:rsidRPr="007D3A0F">
              <w:rPr>
                <w:rFonts w:cs="Times New Roman"/>
                <w:szCs w:val="22"/>
              </w:rPr>
              <w:t>47</w:t>
            </w:r>
          </w:p>
        </w:tc>
        <w:tc>
          <w:tcPr>
            <w:tcW w:w="1266" w:type="dxa"/>
            <w:vAlign w:val="bottom"/>
          </w:tcPr>
          <w:p w:rsidR="007D3A0F" w:rsidRPr="007D3A0F" w:rsidP="007D3A0F" w14:paraId="4F7BFC3D" w14:textId="77777777">
            <w:pPr>
              <w:keepNext/>
              <w:keepLines/>
              <w:spacing w:after="120"/>
              <w:jc w:val="center"/>
              <w:rPr>
                <w:rFonts w:cs="Times New Roman"/>
                <w:szCs w:val="22"/>
              </w:rPr>
            </w:pPr>
            <w:r w:rsidRPr="007D3A0F">
              <w:rPr>
                <w:rFonts w:cs="Times New Roman"/>
                <w:szCs w:val="22"/>
              </w:rPr>
              <w:t>189</w:t>
            </w:r>
          </w:p>
        </w:tc>
        <w:tc>
          <w:tcPr>
            <w:tcW w:w="1266" w:type="dxa"/>
            <w:vAlign w:val="bottom"/>
          </w:tcPr>
          <w:p w:rsidR="007D3A0F" w:rsidRPr="007D3A0F" w:rsidP="007D3A0F" w14:paraId="6288922A" w14:textId="77777777">
            <w:pPr>
              <w:keepNext/>
              <w:keepLines/>
              <w:spacing w:after="120"/>
              <w:jc w:val="center"/>
              <w:rPr>
                <w:rFonts w:cs="Times New Roman"/>
                <w:szCs w:val="22"/>
              </w:rPr>
            </w:pPr>
            <w:r w:rsidRPr="007D3A0F">
              <w:rPr>
                <w:rFonts w:cs="Times New Roman"/>
                <w:szCs w:val="22"/>
              </w:rPr>
              <w:t>108</w:t>
            </w:r>
          </w:p>
        </w:tc>
        <w:tc>
          <w:tcPr>
            <w:tcW w:w="1451" w:type="dxa"/>
            <w:vAlign w:val="bottom"/>
          </w:tcPr>
          <w:p w:rsidR="007D3A0F" w:rsidRPr="007D3A0F" w:rsidP="007D3A0F" w14:paraId="2C5C4594" w14:textId="77777777">
            <w:pPr>
              <w:keepNext/>
              <w:keepLines/>
              <w:spacing w:after="120"/>
              <w:jc w:val="center"/>
              <w:rPr>
                <w:rFonts w:cs="Times New Roman"/>
                <w:szCs w:val="22"/>
              </w:rPr>
            </w:pPr>
            <w:r w:rsidRPr="007D3A0F">
              <w:rPr>
                <w:rFonts w:cs="Times New Roman"/>
                <w:szCs w:val="22"/>
              </w:rPr>
              <w:t>2492</w:t>
            </w:r>
          </w:p>
        </w:tc>
      </w:tr>
      <w:tr w14:paraId="24A0FF35" w14:textId="77777777" w:rsidTr="007D3A0F">
        <w:tblPrEx>
          <w:tblW w:w="9360" w:type="dxa"/>
          <w:tblLook w:val="00A0"/>
        </w:tblPrEx>
        <w:tc>
          <w:tcPr>
            <w:tcW w:w="1636" w:type="dxa"/>
            <w:vAlign w:val="bottom"/>
          </w:tcPr>
          <w:p w:rsidR="007D3A0F" w:rsidRPr="00B57342" w:rsidP="007D3A0F" w14:paraId="26DF0919" w14:textId="77777777">
            <w:pPr>
              <w:keepNext/>
              <w:keepLines/>
              <w:spacing w:after="120"/>
              <w:jc w:val="right"/>
              <w:rPr>
                <w:rFonts w:cs="Times New Roman"/>
                <w:color w:val="000000"/>
                <w:kern w:val="0"/>
                <w:szCs w:val="22"/>
              </w:rPr>
            </w:pPr>
            <w:r w:rsidRPr="00B57342">
              <w:rPr>
                <w:rFonts w:cs="Times New Roman"/>
                <w:bCs w:val="0"/>
                <w:color w:val="000000"/>
                <w:kern w:val="0"/>
                <w:szCs w:val="22"/>
              </w:rPr>
              <w:t>IPTV Provider</w:t>
            </w:r>
            <w:r w:rsidR="009360B8">
              <w:rPr>
                <w:rFonts w:cs="Times New Roman"/>
                <w:bCs w:val="0"/>
                <w:color w:val="000000"/>
                <w:kern w:val="0"/>
                <w:szCs w:val="22"/>
              </w:rPr>
              <w:t>s</w:t>
            </w:r>
          </w:p>
        </w:tc>
        <w:tc>
          <w:tcPr>
            <w:tcW w:w="1268" w:type="dxa"/>
            <w:vAlign w:val="bottom"/>
          </w:tcPr>
          <w:p w:rsidR="007D3A0F" w:rsidRPr="007D3A0F" w:rsidP="007D3A0F" w14:paraId="556CCABD" w14:textId="77777777">
            <w:pPr>
              <w:keepNext/>
              <w:keepLines/>
              <w:spacing w:after="120"/>
              <w:jc w:val="center"/>
              <w:rPr>
                <w:rFonts w:cs="Times New Roman"/>
                <w:szCs w:val="22"/>
              </w:rPr>
            </w:pPr>
            <w:r w:rsidRPr="007D3A0F">
              <w:rPr>
                <w:rFonts w:cs="Times New Roman"/>
                <w:szCs w:val="22"/>
              </w:rPr>
              <w:t>12</w:t>
            </w:r>
          </w:p>
        </w:tc>
        <w:tc>
          <w:tcPr>
            <w:tcW w:w="1266" w:type="dxa"/>
            <w:vAlign w:val="bottom"/>
          </w:tcPr>
          <w:p w:rsidR="007D3A0F" w:rsidRPr="007D3A0F" w:rsidP="007D3A0F" w14:paraId="49AAA504" w14:textId="77777777">
            <w:pPr>
              <w:keepNext/>
              <w:keepLines/>
              <w:spacing w:after="120"/>
              <w:jc w:val="center"/>
              <w:rPr>
                <w:rFonts w:cs="Times New Roman"/>
                <w:szCs w:val="22"/>
              </w:rPr>
            </w:pPr>
            <w:r w:rsidRPr="007D3A0F">
              <w:rPr>
                <w:rFonts w:cs="Times New Roman"/>
                <w:szCs w:val="22"/>
              </w:rPr>
              <w:t>1</w:t>
            </w:r>
          </w:p>
        </w:tc>
        <w:tc>
          <w:tcPr>
            <w:tcW w:w="1207" w:type="dxa"/>
            <w:vAlign w:val="bottom"/>
          </w:tcPr>
          <w:p w:rsidR="007D3A0F" w:rsidRPr="007D3A0F" w:rsidP="007D3A0F" w14:paraId="32895F46" w14:textId="77777777">
            <w:pPr>
              <w:keepNext/>
              <w:keepLines/>
              <w:spacing w:after="120"/>
              <w:jc w:val="center"/>
              <w:rPr>
                <w:rFonts w:cs="Times New Roman"/>
                <w:szCs w:val="22"/>
              </w:rPr>
            </w:pPr>
            <w:r w:rsidRPr="007D3A0F">
              <w:rPr>
                <w:rFonts w:cs="Times New Roman"/>
                <w:szCs w:val="22"/>
              </w:rPr>
              <w:t>2</w:t>
            </w:r>
          </w:p>
        </w:tc>
        <w:tc>
          <w:tcPr>
            <w:tcW w:w="1266" w:type="dxa"/>
            <w:vAlign w:val="bottom"/>
          </w:tcPr>
          <w:p w:rsidR="007D3A0F" w:rsidRPr="007D3A0F" w:rsidP="007D3A0F" w14:paraId="5B18CB95" w14:textId="77777777">
            <w:pPr>
              <w:keepNext/>
              <w:keepLines/>
              <w:spacing w:after="120"/>
              <w:jc w:val="center"/>
              <w:rPr>
                <w:rFonts w:cs="Times New Roman"/>
                <w:szCs w:val="22"/>
              </w:rPr>
            </w:pPr>
            <w:r w:rsidRPr="007D3A0F">
              <w:rPr>
                <w:rFonts w:cs="Times New Roman"/>
                <w:szCs w:val="22"/>
              </w:rPr>
              <w:t>26</w:t>
            </w:r>
          </w:p>
        </w:tc>
        <w:tc>
          <w:tcPr>
            <w:tcW w:w="1266" w:type="dxa"/>
            <w:vAlign w:val="bottom"/>
          </w:tcPr>
          <w:p w:rsidR="007D3A0F" w:rsidRPr="007D3A0F" w:rsidP="007D3A0F" w14:paraId="6146F416" w14:textId="77777777">
            <w:pPr>
              <w:keepNext/>
              <w:keepLines/>
              <w:spacing w:after="120"/>
              <w:jc w:val="center"/>
              <w:rPr>
                <w:rFonts w:cs="Times New Roman"/>
                <w:szCs w:val="22"/>
              </w:rPr>
            </w:pPr>
            <w:r w:rsidRPr="007D3A0F">
              <w:rPr>
                <w:rFonts w:cs="Times New Roman"/>
                <w:szCs w:val="22"/>
              </w:rPr>
              <w:t>13</w:t>
            </w:r>
          </w:p>
        </w:tc>
        <w:tc>
          <w:tcPr>
            <w:tcW w:w="1451" w:type="dxa"/>
            <w:vAlign w:val="bottom"/>
          </w:tcPr>
          <w:p w:rsidR="007D3A0F" w:rsidRPr="007D3A0F" w:rsidP="007D3A0F" w14:paraId="7A0ECB7A" w14:textId="77777777">
            <w:pPr>
              <w:keepNext/>
              <w:keepLines/>
              <w:spacing w:after="120"/>
              <w:jc w:val="center"/>
              <w:rPr>
                <w:rFonts w:cs="Times New Roman"/>
                <w:szCs w:val="22"/>
              </w:rPr>
            </w:pPr>
            <w:r w:rsidRPr="007D3A0F">
              <w:rPr>
                <w:rFonts w:cs="Times New Roman"/>
                <w:szCs w:val="22"/>
              </w:rPr>
              <w:t>212</w:t>
            </w:r>
          </w:p>
        </w:tc>
      </w:tr>
      <w:tr w14:paraId="1CF7EC24" w14:textId="77777777" w:rsidTr="007D3A0F">
        <w:tblPrEx>
          <w:tblW w:w="9360" w:type="dxa"/>
          <w:tblLook w:val="00A0"/>
        </w:tblPrEx>
        <w:tc>
          <w:tcPr>
            <w:tcW w:w="1636" w:type="dxa"/>
            <w:vAlign w:val="bottom"/>
          </w:tcPr>
          <w:p w:rsidR="007D3A0F" w:rsidRPr="00B57342" w:rsidP="007D3A0F" w14:paraId="4F6B5FB5" w14:textId="77777777">
            <w:pPr>
              <w:keepNext/>
              <w:keepLines/>
              <w:spacing w:after="120"/>
              <w:jc w:val="right"/>
              <w:rPr>
                <w:rFonts w:cs="Times New Roman"/>
                <w:szCs w:val="22"/>
              </w:rPr>
            </w:pPr>
            <w:r w:rsidRPr="00B57342">
              <w:rPr>
                <w:rFonts w:cs="Times New Roman"/>
                <w:bCs w:val="0"/>
                <w:color w:val="000000"/>
                <w:kern w:val="0"/>
                <w:szCs w:val="22"/>
              </w:rPr>
              <w:t>Wireline Video System</w:t>
            </w:r>
            <w:r w:rsidR="009360B8">
              <w:rPr>
                <w:rFonts w:cs="Times New Roman"/>
                <w:bCs w:val="0"/>
                <w:color w:val="000000"/>
                <w:kern w:val="0"/>
                <w:szCs w:val="22"/>
              </w:rPr>
              <w:t>s</w:t>
            </w:r>
          </w:p>
        </w:tc>
        <w:tc>
          <w:tcPr>
            <w:tcW w:w="1268" w:type="dxa"/>
            <w:vAlign w:val="bottom"/>
          </w:tcPr>
          <w:p w:rsidR="007D3A0F" w:rsidRPr="007D3A0F" w:rsidP="007D3A0F" w14:paraId="65437938" w14:textId="77777777">
            <w:pPr>
              <w:keepNext/>
              <w:keepLines/>
              <w:spacing w:after="120"/>
              <w:jc w:val="center"/>
              <w:rPr>
                <w:rFonts w:cs="Times New Roman"/>
                <w:szCs w:val="22"/>
              </w:rPr>
            </w:pPr>
            <w:r w:rsidRPr="007D3A0F">
              <w:rPr>
                <w:rFonts w:cs="Times New Roman"/>
                <w:szCs w:val="22"/>
              </w:rPr>
              <w:t>8</w:t>
            </w:r>
          </w:p>
        </w:tc>
        <w:tc>
          <w:tcPr>
            <w:tcW w:w="1266" w:type="dxa"/>
            <w:vAlign w:val="bottom"/>
          </w:tcPr>
          <w:p w:rsidR="007D3A0F" w:rsidRPr="007D3A0F" w:rsidP="007D3A0F" w14:paraId="688E4AB5" w14:textId="77777777">
            <w:pPr>
              <w:keepNext/>
              <w:keepLines/>
              <w:spacing w:after="120"/>
              <w:jc w:val="center"/>
              <w:rPr>
                <w:rFonts w:cs="Times New Roman"/>
                <w:szCs w:val="22"/>
              </w:rPr>
            </w:pPr>
            <w:r w:rsidRPr="007D3A0F">
              <w:rPr>
                <w:rFonts w:cs="Times New Roman"/>
                <w:szCs w:val="22"/>
              </w:rPr>
              <w:t>0</w:t>
            </w:r>
          </w:p>
        </w:tc>
        <w:tc>
          <w:tcPr>
            <w:tcW w:w="1207" w:type="dxa"/>
            <w:vAlign w:val="bottom"/>
          </w:tcPr>
          <w:p w:rsidR="007D3A0F" w:rsidRPr="007D3A0F" w:rsidP="007D3A0F" w14:paraId="35D4FB24" w14:textId="77777777">
            <w:pPr>
              <w:keepNext/>
              <w:keepLines/>
              <w:spacing w:after="120"/>
              <w:jc w:val="center"/>
              <w:rPr>
                <w:rFonts w:cs="Times New Roman"/>
                <w:szCs w:val="22"/>
              </w:rPr>
            </w:pPr>
            <w:r w:rsidRPr="007D3A0F">
              <w:rPr>
                <w:rFonts w:cs="Times New Roman"/>
                <w:szCs w:val="22"/>
              </w:rPr>
              <w:t>3</w:t>
            </w:r>
          </w:p>
        </w:tc>
        <w:tc>
          <w:tcPr>
            <w:tcW w:w="1266" w:type="dxa"/>
            <w:vAlign w:val="bottom"/>
          </w:tcPr>
          <w:p w:rsidR="007D3A0F" w:rsidRPr="007D3A0F" w:rsidP="007D3A0F" w14:paraId="46B35172" w14:textId="77777777">
            <w:pPr>
              <w:keepNext/>
              <w:keepLines/>
              <w:spacing w:after="120"/>
              <w:jc w:val="center"/>
              <w:rPr>
                <w:rFonts w:cs="Times New Roman"/>
                <w:szCs w:val="22"/>
              </w:rPr>
            </w:pPr>
            <w:r w:rsidRPr="007D3A0F">
              <w:rPr>
                <w:rFonts w:cs="Times New Roman"/>
                <w:szCs w:val="22"/>
              </w:rPr>
              <w:t>18</w:t>
            </w:r>
          </w:p>
        </w:tc>
        <w:tc>
          <w:tcPr>
            <w:tcW w:w="1266" w:type="dxa"/>
            <w:vAlign w:val="bottom"/>
          </w:tcPr>
          <w:p w:rsidR="007D3A0F" w:rsidRPr="007D3A0F" w:rsidP="007D3A0F" w14:paraId="6848532F" w14:textId="77777777">
            <w:pPr>
              <w:keepNext/>
              <w:keepLines/>
              <w:spacing w:after="120"/>
              <w:jc w:val="center"/>
              <w:rPr>
                <w:rFonts w:cs="Times New Roman"/>
                <w:szCs w:val="22"/>
              </w:rPr>
            </w:pPr>
            <w:r w:rsidRPr="007D3A0F">
              <w:rPr>
                <w:rFonts w:cs="Times New Roman"/>
                <w:szCs w:val="22"/>
              </w:rPr>
              <w:t>6</w:t>
            </w:r>
          </w:p>
        </w:tc>
        <w:tc>
          <w:tcPr>
            <w:tcW w:w="1451" w:type="dxa"/>
            <w:vAlign w:val="bottom"/>
          </w:tcPr>
          <w:p w:rsidR="007D3A0F" w:rsidRPr="007D3A0F" w:rsidP="007D3A0F" w14:paraId="39AC2AEF" w14:textId="77777777">
            <w:pPr>
              <w:keepNext/>
              <w:keepLines/>
              <w:spacing w:after="120"/>
              <w:jc w:val="center"/>
              <w:rPr>
                <w:rFonts w:cs="Times New Roman"/>
                <w:szCs w:val="22"/>
              </w:rPr>
            </w:pPr>
            <w:r w:rsidRPr="007D3A0F">
              <w:rPr>
                <w:rFonts w:cs="Times New Roman"/>
                <w:szCs w:val="22"/>
              </w:rPr>
              <w:t>40</w:t>
            </w:r>
          </w:p>
        </w:tc>
      </w:tr>
      <w:tr w14:paraId="72DEE01D" w14:textId="77777777" w:rsidTr="007D3A0F">
        <w:tblPrEx>
          <w:tblW w:w="9360" w:type="dxa"/>
          <w:tblLook w:val="00A0"/>
        </w:tblPrEx>
        <w:tc>
          <w:tcPr>
            <w:tcW w:w="1636" w:type="dxa"/>
            <w:vAlign w:val="bottom"/>
          </w:tcPr>
          <w:p w:rsidR="007D3A0F" w:rsidRPr="00B57342" w:rsidP="007D3A0F" w14:paraId="6D99FA18" w14:textId="77777777">
            <w:pPr>
              <w:keepNext/>
              <w:keepLines/>
              <w:spacing w:after="120"/>
              <w:jc w:val="right"/>
              <w:rPr>
                <w:rFonts w:cs="Times New Roman"/>
                <w:szCs w:val="22"/>
              </w:rPr>
            </w:pPr>
            <w:r w:rsidRPr="00B57342">
              <w:rPr>
                <w:rFonts w:cs="Times New Roman"/>
                <w:bCs w:val="0"/>
                <w:color w:val="000000"/>
                <w:kern w:val="0"/>
                <w:szCs w:val="22"/>
              </w:rPr>
              <w:t>Other</w:t>
            </w:r>
          </w:p>
        </w:tc>
        <w:tc>
          <w:tcPr>
            <w:tcW w:w="1268" w:type="dxa"/>
            <w:vAlign w:val="bottom"/>
          </w:tcPr>
          <w:p w:rsidR="007D3A0F" w:rsidRPr="007D3A0F" w:rsidP="007D3A0F" w14:paraId="471C5EB5" w14:textId="77777777">
            <w:pPr>
              <w:keepNext/>
              <w:keepLines/>
              <w:spacing w:after="120"/>
              <w:jc w:val="center"/>
              <w:rPr>
                <w:rFonts w:cs="Times New Roman"/>
                <w:szCs w:val="22"/>
              </w:rPr>
            </w:pPr>
            <w:r w:rsidRPr="007D3A0F">
              <w:rPr>
                <w:rFonts w:cs="Times New Roman"/>
                <w:szCs w:val="22"/>
              </w:rPr>
              <w:t>0</w:t>
            </w:r>
          </w:p>
        </w:tc>
        <w:tc>
          <w:tcPr>
            <w:tcW w:w="1266" w:type="dxa"/>
            <w:vAlign w:val="bottom"/>
          </w:tcPr>
          <w:p w:rsidR="007D3A0F" w:rsidRPr="007D3A0F" w:rsidP="007D3A0F" w14:paraId="266A267D" w14:textId="77777777">
            <w:pPr>
              <w:keepNext/>
              <w:keepLines/>
              <w:spacing w:after="120"/>
              <w:jc w:val="center"/>
              <w:rPr>
                <w:rFonts w:cs="Times New Roman"/>
                <w:szCs w:val="22"/>
              </w:rPr>
            </w:pPr>
            <w:r w:rsidRPr="007D3A0F">
              <w:rPr>
                <w:rFonts w:cs="Times New Roman"/>
                <w:szCs w:val="22"/>
              </w:rPr>
              <w:t>0</w:t>
            </w:r>
          </w:p>
        </w:tc>
        <w:tc>
          <w:tcPr>
            <w:tcW w:w="1207" w:type="dxa"/>
            <w:vAlign w:val="bottom"/>
          </w:tcPr>
          <w:p w:rsidR="007D3A0F" w:rsidRPr="007D3A0F" w:rsidP="007D3A0F" w14:paraId="51534FFE" w14:textId="77777777">
            <w:pPr>
              <w:keepNext/>
              <w:keepLines/>
              <w:spacing w:after="120"/>
              <w:jc w:val="center"/>
              <w:rPr>
                <w:rFonts w:cs="Times New Roman"/>
                <w:szCs w:val="22"/>
              </w:rPr>
            </w:pPr>
            <w:r w:rsidRPr="007D3A0F">
              <w:rPr>
                <w:rFonts w:cs="Times New Roman"/>
                <w:szCs w:val="22"/>
              </w:rPr>
              <w:t>3</w:t>
            </w:r>
          </w:p>
        </w:tc>
        <w:tc>
          <w:tcPr>
            <w:tcW w:w="1266" w:type="dxa"/>
            <w:vAlign w:val="bottom"/>
          </w:tcPr>
          <w:p w:rsidR="007D3A0F" w:rsidRPr="007D3A0F" w:rsidP="007D3A0F" w14:paraId="0430A12A" w14:textId="77777777">
            <w:pPr>
              <w:keepNext/>
              <w:keepLines/>
              <w:spacing w:after="120"/>
              <w:jc w:val="center"/>
              <w:rPr>
                <w:rFonts w:cs="Times New Roman"/>
                <w:szCs w:val="22"/>
              </w:rPr>
            </w:pPr>
            <w:r w:rsidRPr="007D3A0F">
              <w:rPr>
                <w:rFonts w:cs="Times New Roman"/>
                <w:szCs w:val="22"/>
              </w:rPr>
              <w:t>3</w:t>
            </w:r>
          </w:p>
        </w:tc>
        <w:tc>
          <w:tcPr>
            <w:tcW w:w="1266" w:type="dxa"/>
            <w:vAlign w:val="bottom"/>
          </w:tcPr>
          <w:p w:rsidR="007D3A0F" w:rsidRPr="007D3A0F" w:rsidP="007D3A0F" w14:paraId="58A36C39" w14:textId="77777777">
            <w:pPr>
              <w:keepNext/>
              <w:keepLines/>
              <w:spacing w:after="120"/>
              <w:jc w:val="center"/>
              <w:rPr>
                <w:rFonts w:cs="Times New Roman"/>
                <w:szCs w:val="22"/>
              </w:rPr>
            </w:pPr>
            <w:r w:rsidRPr="007D3A0F">
              <w:rPr>
                <w:rFonts w:cs="Times New Roman"/>
                <w:szCs w:val="22"/>
              </w:rPr>
              <w:t>1</w:t>
            </w:r>
          </w:p>
        </w:tc>
        <w:tc>
          <w:tcPr>
            <w:tcW w:w="1451" w:type="dxa"/>
            <w:vAlign w:val="bottom"/>
          </w:tcPr>
          <w:p w:rsidR="007D3A0F" w:rsidRPr="007D3A0F" w:rsidP="007D3A0F" w14:paraId="107BA7BE" w14:textId="77777777">
            <w:pPr>
              <w:keepNext/>
              <w:keepLines/>
              <w:spacing w:after="120"/>
              <w:jc w:val="center"/>
              <w:rPr>
                <w:rFonts w:cs="Times New Roman"/>
                <w:szCs w:val="22"/>
              </w:rPr>
            </w:pPr>
            <w:r w:rsidRPr="007D3A0F">
              <w:rPr>
                <w:rFonts w:cs="Times New Roman"/>
                <w:szCs w:val="22"/>
              </w:rPr>
              <w:t>9</w:t>
            </w:r>
          </w:p>
        </w:tc>
      </w:tr>
      <w:tr w14:paraId="52BA89BC" w14:textId="77777777" w:rsidTr="007D3A0F">
        <w:tblPrEx>
          <w:tblW w:w="9360" w:type="dxa"/>
          <w:tblLook w:val="00A0"/>
        </w:tblPrEx>
        <w:tc>
          <w:tcPr>
            <w:tcW w:w="1636" w:type="dxa"/>
            <w:shd w:val="clear" w:color="auto" w:fill="BFBFBF" w:themeFill="background1" w:themeFillShade="BF"/>
            <w:vAlign w:val="bottom"/>
          </w:tcPr>
          <w:p w:rsidR="007D3A0F" w:rsidRPr="00B57342" w:rsidP="007D3A0F" w14:paraId="6B48AC4C" w14:textId="77777777">
            <w:pPr>
              <w:spacing w:after="120"/>
              <w:jc w:val="right"/>
              <w:rPr>
                <w:rFonts w:cs="Times New Roman"/>
                <w:szCs w:val="22"/>
              </w:rPr>
            </w:pPr>
            <w:r w:rsidRPr="00B57342">
              <w:rPr>
                <w:rFonts w:cs="Times New Roman"/>
                <w:b/>
                <w:i/>
                <w:iCs/>
                <w:color w:val="000000"/>
                <w:kern w:val="0"/>
                <w:szCs w:val="22"/>
              </w:rPr>
              <w:t>All Total</w:t>
            </w:r>
          </w:p>
        </w:tc>
        <w:tc>
          <w:tcPr>
            <w:tcW w:w="1268" w:type="dxa"/>
            <w:shd w:val="clear" w:color="auto" w:fill="BFBFBF" w:themeFill="background1" w:themeFillShade="BF"/>
            <w:vAlign w:val="bottom"/>
          </w:tcPr>
          <w:p w:rsidR="007D3A0F" w:rsidRPr="00B57342" w:rsidP="007D3A0F" w14:paraId="5E06D1E0" w14:textId="27213320">
            <w:pPr>
              <w:spacing w:after="120"/>
              <w:jc w:val="center"/>
              <w:rPr>
                <w:rFonts w:cs="Times New Roman"/>
                <w:b/>
                <w:szCs w:val="22"/>
              </w:rPr>
            </w:pPr>
            <w:r>
              <w:rPr>
                <w:rFonts w:cs="Times New Roman"/>
                <w:b/>
                <w:szCs w:val="22"/>
              </w:rPr>
              <w:t>5</w:t>
            </w:r>
            <w:r w:rsidR="00382D1F">
              <w:rPr>
                <w:rFonts w:cs="Times New Roman"/>
                <w:b/>
                <w:szCs w:val="22"/>
              </w:rPr>
              <w:t>39</w:t>
            </w:r>
          </w:p>
        </w:tc>
        <w:tc>
          <w:tcPr>
            <w:tcW w:w="1266" w:type="dxa"/>
            <w:shd w:val="clear" w:color="auto" w:fill="BFBFBF" w:themeFill="background1" w:themeFillShade="BF"/>
            <w:vAlign w:val="bottom"/>
          </w:tcPr>
          <w:p w:rsidR="007D3A0F" w:rsidRPr="00B57342" w:rsidP="007D3A0F" w14:paraId="46AE585D" w14:textId="77777777">
            <w:pPr>
              <w:spacing w:after="120"/>
              <w:jc w:val="center"/>
              <w:rPr>
                <w:rFonts w:cs="Times New Roman"/>
                <w:b/>
                <w:szCs w:val="22"/>
              </w:rPr>
            </w:pPr>
            <w:r>
              <w:rPr>
                <w:rFonts w:cs="Times New Roman"/>
                <w:b/>
                <w:szCs w:val="22"/>
              </w:rPr>
              <w:t>230</w:t>
            </w:r>
          </w:p>
        </w:tc>
        <w:tc>
          <w:tcPr>
            <w:tcW w:w="1207" w:type="dxa"/>
            <w:shd w:val="clear" w:color="auto" w:fill="BFBFBF" w:themeFill="background1" w:themeFillShade="BF"/>
            <w:vAlign w:val="bottom"/>
          </w:tcPr>
          <w:p w:rsidR="007D3A0F" w:rsidRPr="00B57342" w:rsidP="007D3A0F" w14:paraId="2980C765" w14:textId="57A983CE">
            <w:pPr>
              <w:spacing w:after="120"/>
              <w:jc w:val="center"/>
              <w:rPr>
                <w:rFonts w:cs="Times New Roman"/>
                <w:b/>
                <w:szCs w:val="22"/>
              </w:rPr>
            </w:pPr>
            <w:r>
              <w:rPr>
                <w:rFonts w:cs="Times New Roman"/>
                <w:b/>
                <w:szCs w:val="22"/>
              </w:rPr>
              <w:t>104</w:t>
            </w:r>
            <w:r w:rsidR="00382D1F">
              <w:rPr>
                <w:rFonts w:cs="Times New Roman"/>
                <w:b/>
                <w:szCs w:val="22"/>
              </w:rPr>
              <w:t>2</w:t>
            </w:r>
          </w:p>
        </w:tc>
        <w:tc>
          <w:tcPr>
            <w:tcW w:w="1266" w:type="dxa"/>
            <w:shd w:val="clear" w:color="auto" w:fill="BFBFBF" w:themeFill="background1" w:themeFillShade="BF"/>
            <w:vAlign w:val="bottom"/>
          </w:tcPr>
          <w:p w:rsidR="007D3A0F" w:rsidRPr="00B57342" w:rsidP="007D3A0F" w14:paraId="4C6E3ED7" w14:textId="3268E082">
            <w:pPr>
              <w:spacing w:after="120"/>
              <w:jc w:val="center"/>
              <w:rPr>
                <w:rFonts w:cs="Times New Roman"/>
                <w:b/>
                <w:szCs w:val="22"/>
              </w:rPr>
            </w:pPr>
            <w:r>
              <w:rPr>
                <w:rFonts w:cs="Times New Roman"/>
                <w:b/>
                <w:szCs w:val="22"/>
              </w:rPr>
              <w:t>136</w:t>
            </w:r>
            <w:r w:rsidR="00382D1F">
              <w:rPr>
                <w:rFonts w:cs="Times New Roman"/>
                <w:b/>
                <w:szCs w:val="22"/>
              </w:rPr>
              <w:t>3</w:t>
            </w:r>
          </w:p>
        </w:tc>
        <w:tc>
          <w:tcPr>
            <w:tcW w:w="1266" w:type="dxa"/>
            <w:shd w:val="clear" w:color="auto" w:fill="BFBFBF" w:themeFill="background1" w:themeFillShade="BF"/>
            <w:vAlign w:val="bottom"/>
          </w:tcPr>
          <w:p w:rsidR="007D3A0F" w:rsidRPr="00B57342" w:rsidP="007D3A0F" w14:paraId="3C6D8D15" w14:textId="77777777">
            <w:pPr>
              <w:spacing w:after="120"/>
              <w:jc w:val="center"/>
              <w:rPr>
                <w:rFonts w:cs="Times New Roman"/>
                <w:b/>
                <w:szCs w:val="22"/>
              </w:rPr>
            </w:pPr>
            <w:r>
              <w:rPr>
                <w:rFonts w:cs="Times New Roman"/>
                <w:b/>
                <w:szCs w:val="22"/>
              </w:rPr>
              <w:t>929</w:t>
            </w:r>
          </w:p>
        </w:tc>
        <w:tc>
          <w:tcPr>
            <w:tcW w:w="1451" w:type="dxa"/>
            <w:shd w:val="clear" w:color="auto" w:fill="BFBFBF" w:themeFill="background1" w:themeFillShade="BF"/>
            <w:vAlign w:val="bottom"/>
          </w:tcPr>
          <w:p w:rsidR="007D3A0F" w:rsidRPr="00B57342" w:rsidP="007D3A0F" w14:paraId="51CA2356" w14:textId="1B70B194">
            <w:pPr>
              <w:spacing w:after="120"/>
              <w:jc w:val="center"/>
              <w:rPr>
                <w:rFonts w:cs="Times New Roman"/>
                <w:b/>
                <w:szCs w:val="22"/>
              </w:rPr>
            </w:pPr>
            <w:r>
              <w:rPr>
                <w:rFonts w:cs="Times New Roman"/>
                <w:b/>
                <w:szCs w:val="22"/>
              </w:rPr>
              <w:t>164</w:t>
            </w:r>
            <w:r w:rsidR="00382D1F">
              <w:rPr>
                <w:rFonts w:cs="Times New Roman"/>
                <w:b/>
                <w:szCs w:val="22"/>
              </w:rPr>
              <w:t>18</w:t>
            </w:r>
          </w:p>
        </w:tc>
      </w:tr>
    </w:tbl>
    <w:p w:rsidR="004E3D74" w:rsidRPr="00B57342" w:rsidP="004E3D74" w14:paraId="5942D5ED" w14:textId="77777777">
      <w:pPr>
        <w:rPr>
          <w:rFonts w:cs="Times New Roman"/>
          <w:b/>
          <w:szCs w:val="22"/>
          <w:u w:val="single"/>
        </w:rPr>
      </w:pPr>
    </w:p>
    <w:p w:rsidR="00DB1669" w:rsidRPr="00735414" w:rsidP="00DB1669" w14:paraId="272E831F" w14:textId="2F799873">
      <w:pPr>
        <w:rPr>
          <w:b/>
          <w:szCs w:val="22"/>
          <w:u w:val="single"/>
        </w:rPr>
      </w:pPr>
      <w:bookmarkStart w:id="126" w:name="_Toc479002013"/>
      <w:bookmarkStart w:id="127" w:name="_Toc477433468"/>
      <w:bookmarkStart w:id="128" w:name="_Toc507169465"/>
      <w:bookmarkStart w:id="129" w:name="_Toc507169594"/>
      <w:bookmarkStart w:id="130" w:name="_Toc507169919"/>
      <w:bookmarkStart w:id="131" w:name="_Toc507170355"/>
      <w:bookmarkStart w:id="132" w:name="_Toc507170701"/>
      <w:bookmarkStart w:id="133" w:name="_Toc507171297"/>
      <w:bookmarkStart w:id="134" w:name="_Toc507171658"/>
      <w:bookmarkStart w:id="135" w:name="_Toc507772320"/>
      <w:bookmarkStart w:id="136" w:name="_Toc507772707"/>
      <w:bookmarkStart w:id="137" w:name="_Toc508315393"/>
      <w:bookmarkStart w:id="138" w:name="_Toc508315980"/>
      <w:bookmarkStart w:id="139" w:name="_Toc511290792"/>
      <w:bookmarkStart w:id="140" w:name="_Toc511291584"/>
    </w:p>
    <w:p w:rsidR="00703FE6" w14:paraId="7B918C3E" w14:textId="77777777">
      <w:pPr>
        <w:rPr>
          <w:b/>
          <w:szCs w:val="22"/>
          <w:u w:val="single"/>
        </w:rPr>
      </w:pPr>
      <w:r>
        <w:br w:type="page"/>
      </w:r>
    </w:p>
    <w:p w:rsidR="004E3D74" w:rsidRPr="00B57342" w:rsidP="00A0777D" w14:paraId="3E69088A" w14:textId="22539540">
      <w:pPr>
        <w:pStyle w:val="Heading2"/>
      </w:pPr>
      <w:bookmarkStart w:id="141" w:name="_Toc5614035"/>
      <w:r>
        <w:t xml:space="preserve">EAS </w:t>
      </w:r>
      <w:r w:rsidRPr="00B57342">
        <w:t>Participant Monitoring of IPAWS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E3D74" w:rsidRPr="00085542" w:rsidP="00215974" w14:paraId="5E796C86" w14:textId="5C5420F0">
      <w:pPr>
        <w:pStyle w:val="ParaNum"/>
        <w:numPr>
          <w:ilvl w:val="0"/>
          <w:numId w:val="0"/>
        </w:numPr>
        <w:spacing w:before="120" w:after="100" w:afterAutospacing="1"/>
        <w:rPr>
          <w:rFonts w:cs="Times New Roman"/>
          <w:b/>
        </w:rPr>
      </w:pPr>
      <w:r w:rsidRPr="001C1759">
        <w:rPr>
          <w:rFonts w:cs="Times New Roman"/>
        </w:rPr>
        <w:t xml:space="preserve">All EAS Participants are required to </w:t>
      </w:r>
      <w:r w:rsidR="009F6604">
        <w:rPr>
          <w:rFonts w:cs="Times New Roman"/>
        </w:rPr>
        <w:t xml:space="preserve">monitor </w:t>
      </w:r>
      <w:r w:rsidRPr="001C1759">
        <w:rPr>
          <w:rFonts w:cs="Times New Roman"/>
        </w:rPr>
        <w:t>IPAWS.</w:t>
      </w:r>
      <w:r>
        <w:rPr>
          <w:rStyle w:val="FootnoteReference"/>
        </w:rPr>
        <w:footnoteReference w:id="64"/>
      </w:r>
      <w:r w:rsidRPr="006C24F7">
        <w:rPr>
          <w:rFonts w:cs="Times New Roman"/>
        </w:rPr>
        <w:t xml:space="preserve">  ETRS Form One asked EAS Participants to confirm whether the</w:t>
      </w:r>
      <w:r w:rsidRPr="00EE2172" w:rsidR="00243B7A">
        <w:rPr>
          <w:rFonts w:cs="Times New Roman"/>
        </w:rPr>
        <w:t>ir</w:t>
      </w:r>
      <w:r w:rsidRPr="007E5268">
        <w:rPr>
          <w:rFonts w:cs="Times New Roman"/>
        </w:rPr>
        <w:t xml:space="preserve"> facility’s equipment complied with this requirement.  </w:t>
      </w:r>
      <w:r w:rsidRPr="00215974">
        <w:rPr>
          <w:rFonts w:cs="Times New Roman"/>
          <w:b/>
        </w:rPr>
        <w:t xml:space="preserve">Table </w:t>
      </w:r>
      <w:r w:rsidR="00735414">
        <w:rPr>
          <w:rFonts w:cs="Times New Roman"/>
          <w:b/>
        </w:rPr>
        <w:t>5</w:t>
      </w:r>
      <w:r w:rsidRPr="007E5268">
        <w:rPr>
          <w:rFonts w:cs="Times New Roman"/>
        </w:rPr>
        <w:t xml:space="preserve"> shows that 96.</w:t>
      </w:r>
      <w:r w:rsidR="00D0508E">
        <w:rPr>
          <w:rFonts w:cs="Times New Roman"/>
        </w:rPr>
        <w:t>8</w:t>
      </w:r>
      <w:r w:rsidRPr="007E5268">
        <w:rPr>
          <w:rFonts w:cs="Times New Roman"/>
        </w:rPr>
        <w:t>% of test participants rep</w:t>
      </w:r>
      <w:r w:rsidR="00366B71">
        <w:rPr>
          <w:rFonts w:cs="Times New Roman"/>
        </w:rPr>
        <w:t>ort</w:t>
      </w:r>
      <w:r w:rsidR="005B216E">
        <w:rPr>
          <w:rFonts w:cs="Times New Roman"/>
        </w:rPr>
        <w:t>ed</w:t>
      </w:r>
      <w:r w:rsidRPr="007E5268">
        <w:rPr>
          <w:rFonts w:cs="Times New Roman"/>
        </w:rPr>
        <w:t xml:space="preserve"> that they are complying with the IPAWS monitoring requirement</w:t>
      </w:r>
      <w:r w:rsidR="00A0777D">
        <w:rPr>
          <w:rFonts w:cs="Times New Roman"/>
        </w:rPr>
        <w:t>—</w:t>
      </w:r>
      <w:r w:rsidRPr="001E55F7">
        <w:rPr>
          <w:rFonts w:cs="Times New Roman"/>
        </w:rPr>
        <w:t>a</w:t>
      </w:r>
      <w:r w:rsidR="00D0508E">
        <w:rPr>
          <w:rFonts w:cs="Times New Roman"/>
        </w:rPr>
        <w:t xml:space="preserve"> slight</w:t>
      </w:r>
      <w:r w:rsidRPr="001E55F7">
        <w:rPr>
          <w:rFonts w:cs="Times New Roman"/>
        </w:rPr>
        <w:t xml:space="preserve"> increase </w:t>
      </w:r>
      <w:r w:rsidR="000609F7">
        <w:rPr>
          <w:rFonts w:cs="Times New Roman"/>
        </w:rPr>
        <w:t>from</w:t>
      </w:r>
      <w:r w:rsidRPr="001E55F7">
        <w:rPr>
          <w:rFonts w:cs="Times New Roman"/>
        </w:rPr>
        <w:t xml:space="preserve"> 9</w:t>
      </w:r>
      <w:r w:rsidR="00D0508E">
        <w:rPr>
          <w:rFonts w:cs="Times New Roman"/>
        </w:rPr>
        <w:t>6.7</w:t>
      </w:r>
      <w:r w:rsidRPr="001E55F7">
        <w:rPr>
          <w:rFonts w:cs="Times New Roman"/>
        </w:rPr>
        <w:t>% in 201</w:t>
      </w:r>
      <w:r w:rsidR="00D0508E">
        <w:rPr>
          <w:rFonts w:cs="Times New Roman"/>
        </w:rPr>
        <w:t>7</w:t>
      </w:r>
      <w:r w:rsidRPr="001E55F7">
        <w:rPr>
          <w:rFonts w:cs="Times New Roman"/>
        </w:rPr>
        <w:t>.</w:t>
      </w:r>
      <w:r>
        <w:rPr>
          <w:rStyle w:val="FootnoteReference"/>
        </w:rPr>
        <w:footnoteReference w:id="65"/>
      </w:r>
      <w:r w:rsidRPr="006C24F7">
        <w:rPr>
          <w:rFonts w:cs="Times New Roman"/>
        </w:rPr>
        <w:t xml:space="preserve">  </w:t>
      </w:r>
      <w:r w:rsidR="00D0508E">
        <w:rPr>
          <w:rFonts w:cs="Times New Roman"/>
        </w:rPr>
        <w:t>W</w:t>
      </w:r>
      <w:r w:rsidRPr="00EE2172" w:rsidR="00EE189D">
        <w:rPr>
          <w:rFonts w:cs="Times New Roman"/>
        </w:rPr>
        <w:t xml:space="preserve">ireline video systems </w:t>
      </w:r>
      <w:r w:rsidR="004420CE">
        <w:rPr>
          <w:rFonts w:cs="Times New Roman"/>
        </w:rPr>
        <w:t xml:space="preserve">continued to </w:t>
      </w:r>
      <w:r w:rsidRPr="00EE2172" w:rsidR="00EE189D">
        <w:rPr>
          <w:rFonts w:cs="Times New Roman"/>
        </w:rPr>
        <w:t xml:space="preserve">increase their IPAWS monitoring rate from </w:t>
      </w:r>
      <w:r w:rsidRPr="007E5268" w:rsidR="00D908B5">
        <w:rPr>
          <w:rFonts w:cs="Times New Roman"/>
        </w:rPr>
        <w:t>68.5% in 2016</w:t>
      </w:r>
      <w:r w:rsidRPr="00B13BDB" w:rsidR="00D908B5">
        <w:rPr>
          <w:rFonts w:cs="Times New Roman"/>
        </w:rPr>
        <w:t xml:space="preserve"> t</w:t>
      </w:r>
      <w:r w:rsidRPr="00755C2D" w:rsidR="00D908B5">
        <w:rPr>
          <w:rFonts w:cs="Times New Roman"/>
        </w:rPr>
        <w:t xml:space="preserve">o </w:t>
      </w:r>
      <w:r w:rsidRPr="00513C0D" w:rsidR="00D908B5">
        <w:rPr>
          <w:rFonts w:cs="Times New Roman"/>
        </w:rPr>
        <w:t>91.7% i</w:t>
      </w:r>
      <w:r w:rsidRPr="00A41703" w:rsidR="00D908B5">
        <w:rPr>
          <w:rFonts w:cs="Times New Roman"/>
        </w:rPr>
        <w:t>n 2</w:t>
      </w:r>
      <w:r w:rsidRPr="40754B4C" w:rsidR="00D908B5">
        <w:rPr>
          <w:rFonts w:cs="Times New Roman"/>
        </w:rPr>
        <w:t>017</w:t>
      </w:r>
      <w:r w:rsidR="00D0508E">
        <w:rPr>
          <w:rFonts w:cs="Times New Roman"/>
        </w:rPr>
        <w:t xml:space="preserve"> to 95.2% in 2018</w:t>
      </w:r>
      <w:r w:rsidRPr="40754B4C" w:rsidR="00D908B5">
        <w:rPr>
          <w:rFonts w:cs="Times New Roman"/>
        </w:rPr>
        <w:t xml:space="preserve">. </w:t>
      </w:r>
    </w:p>
    <w:p w:rsidR="004E3D74" w:rsidRPr="00785A17" w:rsidP="004E3D74" w14:paraId="73453B13" w14:textId="341B2F9D">
      <w:pPr>
        <w:pStyle w:val="ParaNum"/>
        <w:keepNext/>
        <w:keepLines/>
        <w:numPr>
          <w:ilvl w:val="0"/>
          <w:numId w:val="0"/>
        </w:numPr>
        <w:rPr>
          <w:rFonts w:cs="Times New Roman"/>
          <w:b/>
        </w:rPr>
      </w:pPr>
      <w:r w:rsidRPr="00785A17">
        <w:rPr>
          <w:rFonts w:cs="Times New Roman"/>
          <w:b/>
        </w:rPr>
        <w:t xml:space="preserve">Table </w:t>
      </w:r>
      <w:r w:rsidR="00735414">
        <w:rPr>
          <w:rFonts w:cs="Times New Roman"/>
          <w:b/>
        </w:rPr>
        <w:t>5</w:t>
      </w:r>
      <w:r w:rsidRPr="00785A17">
        <w:rPr>
          <w:rFonts w:cs="Times New Roman"/>
          <w:b/>
        </w:rPr>
        <w:t>. IPAWS Monitoring by Participant Type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2160"/>
        <w:gridCol w:w="2610"/>
        <w:gridCol w:w="2525"/>
      </w:tblGrid>
      <w:tr w14:paraId="4227DEDE" w14:textId="77777777" w:rsidTr="00DB1669">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trPr>
        <w:tc>
          <w:tcPr>
            <w:tcW w:w="2065" w:type="dxa"/>
            <w:vMerge w:val="restart"/>
            <w:shd w:val="clear" w:color="auto" w:fill="BFBFBF" w:themeFill="background1" w:themeFillShade="BF"/>
            <w:vAlign w:val="bottom"/>
          </w:tcPr>
          <w:p w:rsidR="00DB1669" w:rsidRPr="00085542" w:rsidP="00DB1669" w14:paraId="41F84568" w14:textId="77777777">
            <w:pPr>
              <w:keepNext/>
              <w:keepLines/>
              <w:spacing w:after="120"/>
              <w:jc w:val="center"/>
              <w:rPr>
                <w:rFonts w:cs="Times New Roman"/>
                <w:b/>
                <w:color w:val="000000"/>
                <w:kern w:val="0"/>
              </w:rPr>
            </w:pPr>
            <w:bookmarkStart w:id="142" w:name="_Toc477433270"/>
            <w:r w:rsidRPr="255FCAE1">
              <w:rPr>
                <w:rFonts w:cs="Times New Roman"/>
                <w:b/>
                <w:color w:val="000000"/>
                <w:kern w:val="0"/>
              </w:rPr>
              <w:t>EAS Participant Type</w:t>
            </w:r>
          </w:p>
        </w:tc>
        <w:tc>
          <w:tcPr>
            <w:tcW w:w="2160" w:type="dxa"/>
            <w:vMerge w:val="restart"/>
            <w:shd w:val="clear" w:color="auto" w:fill="BFBFBF" w:themeFill="background1" w:themeFillShade="BF"/>
            <w:vAlign w:val="bottom"/>
          </w:tcPr>
          <w:p w:rsidR="00DB1669" w:rsidRPr="00085542" w:rsidP="00DB1669" w14:paraId="6C8B8A35" w14:textId="77777777">
            <w:pPr>
              <w:keepNext/>
              <w:keepLines/>
              <w:spacing w:after="120"/>
              <w:jc w:val="center"/>
              <w:rPr>
                <w:rFonts w:cs="Times New Roman"/>
                <w:b/>
                <w:color w:val="000000"/>
                <w:kern w:val="0"/>
              </w:rPr>
            </w:pPr>
            <w:r w:rsidRPr="255FCAE1">
              <w:rPr>
                <w:rFonts w:cs="Times New Roman"/>
                <w:b/>
                <w:color w:val="000000"/>
                <w:kern w:val="0"/>
              </w:rPr>
              <w:t>Test Participants</w:t>
            </w:r>
          </w:p>
        </w:tc>
        <w:tc>
          <w:tcPr>
            <w:tcW w:w="5135" w:type="dxa"/>
            <w:gridSpan w:val="2"/>
            <w:shd w:val="clear" w:color="auto" w:fill="BFBFBF" w:themeFill="background1" w:themeFillShade="BF"/>
            <w:vAlign w:val="bottom"/>
          </w:tcPr>
          <w:p w:rsidR="00DB1669" w:rsidRPr="00085542" w:rsidP="00DB1669" w14:paraId="404214E1" w14:textId="77777777">
            <w:pPr>
              <w:keepNext/>
              <w:keepLines/>
              <w:spacing w:after="120"/>
              <w:jc w:val="center"/>
              <w:rPr>
                <w:rFonts w:cs="Times New Roman"/>
                <w:b/>
                <w:color w:val="000000"/>
                <w:kern w:val="0"/>
              </w:rPr>
            </w:pPr>
            <w:r w:rsidRPr="255FCAE1">
              <w:rPr>
                <w:rFonts w:cs="Times New Roman"/>
                <w:b/>
                <w:color w:val="000000"/>
                <w:kern w:val="0"/>
              </w:rPr>
              <w:t>Monitoring IPAWS</w:t>
            </w:r>
          </w:p>
        </w:tc>
      </w:tr>
      <w:tr w14:paraId="2D35C76C" w14:textId="77777777" w:rsidTr="00DB1669">
        <w:tblPrEx>
          <w:tblW w:w="9360" w:type="dxa"/>
          <w:tblLook w:val="00A0"/>
        </w:tblPrEx>
        <w:trPr>
          <w:cantSplit/>
        </w:trPr>
        <w:tc>
          <w:tcPr>
            <w:tcW w:w="2065" w:type="dxa"/>
            <w:vMerge/>
            <w:shd w:val="clear" w:color="auto" w:fill="BFBFBF"/>
            <w:vAlign w:val="bottom"/>
          </w:tcPr>
          <w:p w:rsidR="00DB1669" w:rsidRPr="00B57342" w:rsidP="00DB1669" w14:paraId="0E9DD068" w14:textId="77777777">
            <w:pPr>
              <w:keepNext/>
              <w:keepLines/>
              <w:spacing w:after="120"/>
              <w:jc w:val="right"/>
              <w:rPr>
                <w:rFonts w:cs="Times New Roman"/>
                <w:szCs w:val="22"/>
              </w:rPr>
            </w:pPr>
          </w:p>
        </w:tc>
        <w:tc>
          <w:tcPr>
            <w:tcW w:w="2160" w:type="dxa"/>
            <w:vMerge/>
            <w:shd w:val="clear" w:color="auto" w:fill="BFBFBF"/>
            <w:vAlign w:val="bottom"/>
          </w:tcPr>
          <w:p w:rsidR="00DB1669" w:rsidRPr="00B57342" w:rsidP="00DB1669" w14:paraId="5750CC85" w14:textId="77777777">
            <w:pPr>
              <w:keepNext/>
              <w:keepLines/>
              <w:spacing w:after="120"/>
              <w:jc w:val="center"/>
              <w:rPr>
                <w:rFonts w:cs="Times New Roman"/>
                <w:b/>
                <w:bCs w:val="0"/>
                <w:color w:val="000000"/>
                <w:kern w:val="0"/>
                <w:szCs w:val="22"/>
              </w:rPr>
            </w:pPr>
          </w:p>
        </w:tc>
        <w:tc>
          <w:tcPr>
            <w:tcW w:w="2610" w:type="dxa"/>
            <w:shd w:val="clear" w:color="auto" w:fill="BFBFBF" w:themeFill="background1" w:themeFillShade="BF"/>
            <w:vAlign w:val="bottom"/>
          </w:tcPr>
          <w:p w:rsidR="00DB1669" w:rsidRPr="00085542" w:rsidP="00DB1669" w14:paraId="51C2E0A2" w14:textId="77777777">
            <w:pPr>
              <w:keepNext/>
              <w:keepLines/>
              <w:spacing w:after="120"/>
              <w:jc w:val="center"/>
              <w:rPr>
                <w:rFonts w:cs="Times New Roman"/>
                <w:b/>
              </w:rPr>
            </w:pPr>
            <w:r w:rsidRPr="255FCAE1">
              <w:rPr>
                <w:rFonts w:cs="Times New Roman"/>
                <w:b/>
                <w:color w:val="000000"/>
                <w:kern w:val="0"/>
              </w:rPr>
              <w:t xml:space="preserve"># </w:t>
            </w:r>
          </w:p>
        </w:tc>
        <w:tc>
          <w:tcPr>
            <w:tcW w:w="2525" w:type="dxa"/>
            <w:shd w:val="clear" w:color="auto" w:fill="BFBFBF" w:themeFill="background1" w:themeFillShade="BF"/>
            <w:vAlign w:val="bottom"/>
          </w:tcPr>
          <w:p w:rsidR="00DB1669" w:rsidRPr="00085542" w:rsidP="00DB1669" w14:paraId="3C308A48" w14:textId="77777777">
            <w:pPr>
              <w:keepNext/>
              <w:keepLines/>
              <w:spacing w:after="120"/>
              <w:jc w:val="center"/>
              <w:rPr>
                <w:rFonts w:cs="Times New Roman"/>
                <w:b/>
              </w:rPr>
            </w:pPr>
            <w:r w:rsidRPr="255FCAE1">
              <w:rPr>
                <w:rFonts w:cs="Times New Roman"/>
                <w:b/>
                <w:color w:val="000000"/>
                <w:kern w:val="0"/>
              </w:rPr>
              <w:t>%</w:t>
            </w:r>
          </w:p>
        </w:tc>
      </w:tr>
      <w:tr w14:paraId="6AE6F599" w14:textId="77777777" w:rsidTr="00DB1669">
        <w:tblPrEx>
          <w:tblW w:w="9360" w:type="dxa"/>
          <w:tblLook w:val="00A0"/>
        </w:tblPrEx>
        <w:trPr>
          <w:cantSplit/>
        </w:trPr>
        <w:tc>
          <w:tcPr>
            <w:tcW w:w="2065" w:type="dxa"/>
            <w:vAlign w:val="bottom"/>
          </w:tcPr>
          <w:p w:rsidR="008F5FDA" w:rsidRPr="005B7CDC" w:rsidP="008F5FDA" w14:paraId="033036DB" w14:textId="77777777">
            <w:pPr>
              <w:keepNext/>
              <w:keepLines/>
              <w:spacing w:after="120"/>
              <w:jc w:val="right"/>
              <w:rPr>
                <w:rFonts w:cs="Times New Roman"/>
              </w:rPr>
            </w:pPr>
            <w:r w:rsidRPr="003064C6">
              <w:rPr>
                <w:rFonts w:cs="Times New Roman"/>
                <w:color w:val="000000"/>
                <w:kern w:val="0"/>
              </w:rPr>
              <w:t>Radio Broadcasters</w:t>
            </w:r>
          </w:p>
        </w:tc>
        <w:tc>
          <w:tcPr>
            <w:tcW w:w="2160" w:type="dxa"/>
            <w:vAlign w:val="bottom"/>
          </w:tcPr>
          <w:p w:rsidR="008F5FDA" w:rsidRPr="008F5FDA" w:rsidP="008F5FDA" w14:paraId="6BB52102" w14:textId="77777777">
            <w:pPr>
              <w:keepNext/>
              <w:keepLines/>
              <w:spacing w:after="120"/>
              <w:jc w:val="center"/>
              <w:rPr>
                <w:rFonts w:cs="Times New Roman"/>
              </w:rPr>
            </w:pPr>
            <w:r w:rsidRPr="008F5FDA">
              <w:rPr>
                <w:rFonts w:cs="Times New Roman"/>
                <w:color w:val="000000"/>
                <w:kern w:val="0"/>
              </w:rPr>
              <w:t>13878</w:t>
            </w:r>
          </w:p>
        </w:tc>
        <w:tc>
          <w:tcPr>
            <w:tcW w:w="2610" w:type="dxa"/>
            <w:vAlign w:val="bottom"/>
          </w:tcPr>
          <w:p w:rsidR="008F5FDA" w:rsidRPr="008F5FDA" w:rsidP="008F5FDA" w14:paraId="1EC04570" w14:textId="77777777">
            <w:pPr>
              <w:keepNext/>
              <w:keepLines/>
              <w:spacing w:after="120"/>
              <w:jc w:val="center"/>
              <w:rPr>
                <w:rFonts w:cs="Times New Roman"/>
              </w:rPr>
            </w:pPr>
            <w:r w:rsidRPr="008F5FDA">
              <w:rPr>
                <w:rFonts w:cs="Times New Roman"/>
              </w:rPr>
              <w:t>13494</w:t>
            </w:r>
          </w:p>
        </w:tc>
        <w:tc>
          <w:tcPr>
            <w:tcW w:w="2525" w:type="dxa"/>
            <w:vAlign w:val="bottom"/>
          </w:tcPr>
          <w:p w:rsidR="008F5FDA" w:rsidRPr="008F5FDA" w:rsidP="008F5FDA" w14:paraId="51349FE5" w14:textId="77777777">
            <w:pPr>
              <w:keepNext/>
              <w:keepLines/>
              <w:spacing w:after="120"/>
              <w:jc w:val="center"/>
              <w:rPr>
                <w:rFonts w:cs="Times New Roman"/>
              </w:rPr>
            </w:pPr>
            <w:r w:rsidRPr="008F5FDA">
              <w:rPr>
                <w:rFonts w:cs="Times New Roman"/>
              </w:rPr>
              <w:t>97.2%</w:t>
            </w:r>
          </w:p>
        </w:tc>
      </w:tr>
      <w:tr w14:paraId="5108E82A" w14:textId="77777777" w:rsidTr="00DB1669">
        <w:tblPrEx>
          <w:tblW w:w="9360" w:type="dxa"/>
          <w:tblLook w:val="00A0"/>
        </w:tblPrEx>
        <w:trPr>
          <w:cantSplit/>
        </w:trPr>
        <w:tc>
          <w:tcPr>
            <w:tcW w:w="2065" w:type="dxa"/>
            <w:vAlign w:val="bottom"/>
          </w:tcPr>
          <w:p w:rsidR="008F5FDA" w:rsidRPr="00341818" w:rsidP="008F5FDA" w14:paraId="3968CD84" w14:textId="77777777">
            <w:pPr>
              <w:keepNext/>
              <w:keepLines/>
              <w:spacing w:after="120"/>
              <w:jc w:val="right"/>
              <w:rPr>
                <w:rFonts w:cs="Times New Roman"/>
              </w:rPr>
            </w:pPr>
            <w:r w:rsidRPr="003064C6">
              <w:rPr>
                <w:rFonts w:cs="Times New Roman"/>
                <w:color w:val="000000"/>
                <w:kern w:val="0"/>
              </w:rPr>
              <w:t>Television Broadcasters</w:t>
            </w:r>
          </w:p>
        </w:tc>
        <w:tc>
          <w:tcPr>
            <w:tcW w:w="2160" w:type="dxa"/>
            <w:vAlign w:val="bottom"/>
          </w:tcPr>
          <w:p w:rsidR="008F5FDA" w:rsidRPr="008F5FDA" w:rsidP="008F5FDA" w14:paraId="04A12031" w14:textId="77777777">
            <w:pPr>
              <w:keepNext/>
              <w:keepLines/>
              <w:spacing w:after="120"/>
              <w:jc w:val="center"/>
              <w:rPr>
                <w:rFonts w:cs="Times New Roman"/>
              </w:rPr>
            </w:pPr>
            <w:r w:rsidRPr="008F5FDA">
              <w:rPr>
                <w:rFonts w:cs="Times New Roman"/>
                <w:color w:val="000000"/>
                <w:kern w:val="0"/>
              </w:rPr>
              <w:t>264</w:t>
            </w:r>
            <w:r w:rsidR="00D0508E">
              <w:rPr>
                <w:rFonts w:cs="Times New Roman"/>
                <w:color w:val="000000"/>
                <w:kern w:val="0"/>
              </w:rPr>
              <w:t>2</w:t>
            </w:r>
          </w:p>
        </w:tc>
        <w:tc>
          <w:tcPr>
            <w:tcW w:w="2610" w:type="dxa"/>
            <w:vAlign w:val="bottom"/>
          </w:tcPr>
          <w:p w:rsidR="008F5FDA" w:rsidRPr="008F5FDA" w:rsidP="008F5FDA" w14:paraId="345CA61C" w14:textId="77777777">
            <w:pPr>
              <w:keepNext/>
              <w:keepLines/>
              <w:spacing w:after="120"/>
              <w:jc w:val="center"/>
              <w:rPr>
                <w:rFonts w:cs="Times New Roman"/>
              </w:rPr>
            </w:pPr>
            <w:r w:rsidRPr="008F5FDA">
              <w:rPr>
                <w:rFonts w:cs="Times New Roman"/>
              </w:rPr>
              <w:t>257</w:t>
            </w:r>
            <w:r w:rsidR="00D0508E">
              <w:rPr>
                <w:rFonts w:cs="Times New Roman"/>
              </w:rPr>
              <w:t>4</w:t>
            </w:r>
          </w:p>
        </w:tc>
        <w:tc>
          <w:tcPr>
            <w:tcW w:w="2525" w:type="dxa"/>
            <w:vAlign w:val="bottom"/>
          </w:tcPr>
          <w:p w:rsidR="008F5FDA" w:rsidRPr="008F5FDA" w:rsidP="008F5FDA" w14:paraId="615D3D63" w14:textId="77777777">
            <w:pPr>
              <w:keepNext/>
              <w:keepLines/>
              <w:spacing w:after="120"/>
              <w:jc w:val="center"/>
              <w:rPr>
                <w:rFonts w:cs="Times New Roman"/>
              </w:rPr>
            </w:pPr>
            <w:r w:rsidRPr="008F5FDA">
              <w:rPr>
                <w:rFonts w:cs="Times New Roman"/>
              </w:rPr>
              <w:t>97.4%</w:t>
            </w:r>
          </w:p>
        </w:tc>
      </w:tr>
      <w:tr w14:paraId="05AB878A" w14:textId="77777777" w:rsidTr="00DB1669">
        <w:tblPrEx>
          <w:tblW w:w="9360" w:type="dxa"/>
          <w:tblLook w:val="00A0"/>
        </w:tblPrEx>
        <w:trPr>
          <w:cantSplit/>
        </w:trPr>
        <w:tc>
          <w:tcPr>
            <w:tcW w:w="2065" w:type="dxa"/>
            <w:vAlign w:val="bottom"/>
          </w:tcPr>
          <w:p w:rsidR="008F5FDA" w:rsidRPr="005B7CDC" w:rsidP="008F5FDA" w14:paraId="5DBF6DFF" w14:textId="77777777">
            <w:pPr>
              <w:keepNext/>
              <w:keepLines/>
              <w:spacing w:after="120"/>
              <w:jc w:val="right"/>
              <w:rPr>
                <w:rFonts w:cs="Times New Roman"/>
              </w:rPr>
            </w:pPr>
            <w:r w:rsidRPr="003064C6">
              <w:rPr>
                <w:rFonts w:cs="Times New Roman"/>
                <w:color w:val="000000"/>
                <w:kern w:val="0"/>
              </w:rPr>
              <w:t>Cable Systems</w:t>
            </w:r>
          </w:p>
        </w:tc>
        <w:tc>
          <w:tcPr>
            <w:tcW w:w="2160" w:type="dxa"/>
            <w:vAlign w:val="bottom"/>
          </w:tcPr>
          <w:p w:rsidR="008F5FDA" w:rsidRPr="008F5FDA" w:rsidP="008F5FDA" w14:paraId="13EBA834" w14:textId="77777777">
            <w:pPr>
              <w:keepNext/>
              <w:keepLines/>
              <w:spacing w:after="120"/>
              <w:jc w:val="center"/>
              <w:rPr>
                <w:rFonts w:cs="Times New Roman"/>
              </w:rPr>
            </w:pPr>
            <w:r w:rsidRPr="008F5FDA">
              <w:rPr>
                <w:rFonts w:cs="Times New Roman"/>
              </w:rPr>
              <w:t>2812</w:t>
            </w:r>
          </w:p>
        </w:tc>
        <w:tc>
          <w:tcPr>
            <w:tcW w:w="2610" w:type="dxa"/>
            <w:vAlign w:val="bottom"/>
          </w:tcPr>
          <w:p w:rsidR="008F5FDA" w:rsidRPr="008F5FDA" w:rsidP="008F5FDA" w14:paraId="52A0A131" w14:textId="77777777">
            <w:pPr>
              <w:keepNext/>
              <w:keepLines/>
              <w:spacing w:after="120"/>
              <w:jc w:val="center"/>
              <w:rPr>
                <w:rFonts w:cs="Times New Roman"/>
              </w:rPr>
            </w:pPr>
            <w:r w:rsidRPr="008F5FDA">
              <w:rPr>
                <w:rFonts w:cs="Times New Roman"/>
              </w:rPr>
              <w:t>2659</w:t>
            </w:r>
          </w:p>
        </w:tc>
        <w:tc>
          <w:tcPr>
            <w:tcW w:w="2525" w:type="dxa"/>
            <w:vAlign w:val="bottom"/>
          </w:tcPr>
          <w:p w:rsidR="008F5FDA" w:rsidRPr="008F5FDA" w:rsidP="008F5FDA" w14:paraId="7754A785" w14:textId="77777777">
            <w:pPr>
              <w:keepNext/>
              <w:keepLines/>
              <w:spacing w:after="120"/>
              <w:jc w:val="center"/>
              <w:rPr>
                <w:rFonts w:cs="Times New Roman"/>
              </w:rPr>
            </w:pPr>
            <w:r w:rsidRPr="008F5FDA">
              <w:rPr>
                <w:rFonts w:cs="Times New Roman"/>
              </w:rPr>
              <w:t>94.6%</w:t>
            </w:r>
          </w:p>
        </w:tc>
      </w:tr>
      <w:tr w14:paraId="306EDC64" w14:textId="77777777" w:rsidTr="00DB1669">
        <w:tblPrEx>
          <w:tblW w:w="9360" w:type="dxa"/>
          <w:tblLook w:val="00A0"/>
        </w:tblPrEx>
        <w:trPr>
          <w:cantSplit/>
        </w:trPr>
        <w:tc>
          <w:tcPr>
            <w:tcW w:w="2065" w:type="dxa"/>
            <w:vAlign w:val="bottom"/>
          </w:tcPr>
          <w:p w:rsidR="008F5FDA" w:rsidRPr="005B7CDC" w:rsidP="008F5FDA" w14:paraId="495C3412" w14:textId="77777777">
            <w:pPr>
              <w:keepNext/>
              <w:keepLines/>
              <w:spacing w:after="120"/>
              <w:jc w:val="right"/>
              <w:rPr>
                <w:rFonts w:cs="Times New Roman"/>
                <w:color w:val="000000"/>
                <w:kern w:val="0"/>
              </w:rPr>
            </w:pPr>
            <w:r w:rsidRPr="003064C6">
              <w:rPr>
                <w:rFonts w:cs="Times New Roman"/>
                <w:color w:val="000000"/>
                <w:kern w:val="0"/>
              </w:rPr>
              <w:t>IPTV Providers</w:t>
            </w:r>
          </w:p>
        </w:tc>
        <w:tc>
          <w:tcPr>
            <w:tcW w:w="2160" w:type="dxa"/>
            <w:vAlign w:val="bottom"/>
          </w:tcPr>
          <w:p w:rsidR="008F5FDA" w:rsidRPr="008F5FDA" w:rsidP="008F5FDA" w14:paraId="714672EC" w14:textId="77777777">
            <w:pPr>
              <w:keepNext/>
              <w:keepLines/>
              <w:spacing w:after="120"/>
              <w:jc w:val="center"/>
              <w:rPr>
                <w:rFonts w:cs="Times New Roman"/>
              </w:rPr>
            </w:pPr>
            <w:r w:rsidRPr="008F5FDA">
              <w:rPr>
                <w:rFonts w:cs="Times New Roman"/>
              </w:rPr>
              <w:t>246</w:t>
            </w:r>
          </w:p>
        </w:tc>
        <w:tc>
          <w:tcPr>
            <w:tcW w:w="2610" w:type="dxa"/>
            <w:vAlign w:val="bottom"/>
          </w:tcPr>
          <w:p w:rsidR="008F5FDA" w:rsidRPr="008F5FDA" w:rsidP="008F5FDA" w14:paraId="36B3C684" w14:textId="77777777">
            <w:pPr>
              <w:keepNext/>
              <w:keepLines/>
              <w:spacing w:after="120"/>
              <w:jc w:val="center"/>
              <w:rPr>
                <w:rFonts w:cs="Times New Roman"/>
              </w:rPr>
            </w:pPr>
            <w:r w:rsidRPr="008F5FDA">
              <w:rPr>
                <w:rFonts w:cs="Times New Roman"/>
              </w:rPr>
              <w:t>235</w:t>
            </w:r>
          </w:p>
        </w:tc>
        <w:tc>
          <w:tcPr>
            <w:tcW w:w="2525" w:type="dxa"/>
            <w:vAlign w:val="bottom"/>
          </w:tcPr>
          <w:p w:rsidR="008F5FDA" w:rsidRPr="008F5FDA" w:rsidP="008F5FDA" w14:paraId="29D37651" w14:textId="77777777">
            <w:pPr>
              <w:keepNext/>
              <w:keepLines/>
              <w:spacing w:after="120"/>
              <w:jc w:val="center"/>
              <w:rPr>
                <w:rFonts w:cs="Times New Roman"/>
              </w:rPr>
            </w:pPr>
            <w:r w:rsidRPr="008F5FDA">
              <w:rPr>
                <w:rFonts w:cs="Times New Roman"/>
              </w:rPr>
              <w:t>95.5%</w:t>
            </w:r>
          </w:p>
        </w:tc>
      </w:tr>
      <w:tr w14:paraId="2738CEB5" w14:textId="77777777" w:rsidTr="00DB1669">
        <w:tblPrEx>
          <w:tblW w:w="9360" w:type="dxa"/>
          <w:tblLook w:val="00A0"/>
        </w:tblPrEx>
        <w:trPr>
          <w:cantSplit/>
        </w:trPr>
        <w:tc>
          <w:tcPr>
            <w:tcW w:w="2065" w:type="dxa"/>
            <w:vAlign w:val="bottom"/>
          </w:tcPr>
          <w:p w:rsidR="008F5FDA" w:rsidRPr="00341818" w:rsidP="008F5FDA" w14:paraId="2809AF70" w14:textId="77777777">
            <w:pPr>
              <w:keepNext/>
              <w:keepLines/>
              <w:spacing w:after="120"/>
              <w:jc w:val="right"/>
              <w:rPr>
                <w:rFonts w:cs="Times New Roman"/>
              </w:rPr>
            </w:pPr>
            <w:r w:rsidRPr="003064C6">
              <w:rPr>
                <w:rFonts w:cs="Times New Roman"/>
                <w:color w:val="000000"/>
                <w:kern w:val="0"/>
              </w:rPr>
              <w:t>Wireline Video System</w:t>
            </w:r>
          </w:p>
        </w:tc>
        <w:tc>
          <w:tcPr>
            <w:tcW w:w="2160" w:type="dxa"/>
            <w:vAlign w:val="bottom"/>
          </w:tcPr>
          <w:p w:rsidR="008F5FDA" w:rsidRPr="008F5FDA" w:rsidP="008F5FDA" w14:paraId="169C1DA1" w14:textId="77777777">
            <w:pPr>
              <w:keepNext/>
              <w:keepLines/>
              <w:spacing w:after="120"/>
              <w:jc w:val="center"/>
              <w:rPr>
                <w:rFonts w:cs="Times New Roman"/>
              </w:rPr>
            </w:pPr>
            <w:r w:rsidRPr="008F5FDA">
              <w:rPr>
                <w:rFonts w:cs="Times New Roman"/>
              </w:rPr>
              <w:t>63</w:t>
            </w:r>
          </w:p>
        </w:tc>
        <w:tc>
          <w:tcPr>
            <w:tcW w:w="2610" w:type="dxa"/>
            <w:vAlign w:val="bottom"/>
          </w:tcPr>
          <w:p w:rsidR="008F5FDA" w:rsidRPr="008F5FDA" w:rsidP="008F5FDA" w14:paraId="7E2956F7" w14:textId="77777777">
            <w:pPr>
              <w:keepNext/>
              <w:keepLines/>
              <w:spacing w:after="120"/>
              <w:jc w:val="center"/>
              <w:rPr>
                <w:rFonts w:cs="Times New Roman"/>
              </w:rPr>
            </w:pPr>
            <w:r w:rsidRPr="008F5FDA">
              <w:rPr>
                <w:rFonts w:cs="Times New Roman"/>
              </w:rPr>
              <w:t>60</w:t>
            </w:r>
          </w:p>
        </w:tc>
        <w:tc>
          <w:tcPr>
            <w:tcW w:w="2525" w:type="dxa"/>
            <w:vAlign w:val="bottom"/>
          </w:tcPr>
          <w:p w:rsidR="008F5FDA" w:rsidRPr="008F5FDA" w:rsidP="008F5FDA" w14:paraId="12FA4BC0" w14:textId="77777777">
            <w:pPr>
              <w:keepNext/>
              <w:keepLines/>
              <w:spacing w:after="120"/>
              <w:jc w:val="center"/>
              <w:rPr>
                <w:rFonts w:cs="Times New Roman"/>
              </w:rPr>
            </w:pPr>
            <w:r w:rsidRPr="008F5FDA">
              <w:rPr>
                <w:rFonts w:cs="Times New Roman"/>
              </w:rPr>
              <w:t>95.2%</w:t>
            </w:r>
          </w:p>
        </w:tc>
      </w:tr>
      <w:tr w14:paraId="7450A537" w14:textId="77777777" w:rsidTr="00DB1669">
        <w:tblPrEx>
          <w:tblW w:w="9360" w:type="dxa"/>
          <w:tblLook w:val="00A0"/>
        </w:tblPrEx>
        <w:trPr>
          <w:cantSplit/>
        </w:trPr>
        <w:tc>
          <w:tcPr>
            <w:tcW w:w="2065" w:type="dxa"/>
            <w:vAlign w:val="bottom"/>
          </w:tcPr>
          <w:p w:rsidR="008F5FDA" w:rsidRPr="005B7CDC" w:rsidP="008F5FDA" w14:paraId="33E30693" w14:textId="77777777">
            <w:pPr>
              <w:keepNext/>
              <w:keepLines/>
              <w:spacing w:after="120"/>
              <w:jc w:val="right"/>
              <w:rPr>
                <w:rFonts w:cs="Times New Roman"/>
              </w:rPr>
            </w:pPr>
            <w:r w:rsidRPr="003064C6">
              <w:rPr>
                <w:rFonts w:cs="Times New Roman"/>
                <w:color w:val="000000"/>
                <w:kern w:val="0"/>
              </w:rPr>
              <w:t>Other</w:t>
            </w:r>
          </w:p>
        </w:tc>
        <w:tc>
          <w:tcPr>
            <w:tcW w:w="2160" w:type="dxa"/>
            <w:vAlign w:val="bottom"/>
          </w:tcPr>
          <w:p w:rsidR="008F5FDA" w:rsidRPr="008F5FDA" w:rsidP="008F5FDA" w14:paraId="27800139" w14:textId="77777777">
            <w:pPr>
              <w:keepNext/>
              <w:keepLines/>
              <w:spacing w:after="120"/>
              <w:jc w:val="center"/>
              <w:rPr>
                <w:rFonts w:cs="Times New Roman"/>
              </w:rPr>
            </w:pPr>
            <w:r w:rsidRPr="008F5FDA">
              <w:rPr>
                <w:rFonts w:cs="Times New Roman"/>
              </w:rPr>
              <w:t>17</w:t>
            </w:r>
          </w:p>
        </w:tc>
        <w:tc>
          <w:tcPr>
            <w:tcW w:w="2610" w:type="dxa"/>
            <w:vAlign w:val="bottom"/>
          </w:tcPr>
          <w:p w:rsidR="008F5FDA" w:rsidRPr="008F5FDA" w:rsidP="008F5FDA" w14:paraId="74BBAB67" w14:textId="77777777">
            <w:pPr>
              <w:keepNext/>
              <w:keepLines/>
              <w:spacing w:after="120"/>
              <w:jc w:val="center"/>
              <w:rPr>
                <w:rFonts w:cs="Times New Roman"/>
              </w:rPr>
            </w:pPr>
            <w:r w:rsidRPr="008F5FDA">
              <w:rPr>
                <w:rFonts w:cs="Times New Roman"/>
              </w:rPr>
              <w:t>15</w:t>
            </w:r>
          </w:p>
        </w:tc>
        <w:tc>
          <w:tcPr>
            <w:tcW w:w="2525" w:type="dxa"/>
            <w:vAlign w:val="bottom"/>
          </w:tcPr>
          <w:p w:rsidR="008F5FDA" w:rsidRPr="008F5FDA" w:rsidP="008F5FDA" w14:paraId="5EAB7FBF" w14:textId="77777777">
            <w:pPr>
              <w:keepNext/>
              <w:keepLines/>
              <w:spacing w:after="120"/>
              <w:jc w:val="center"/>
              <w:rPr>
                <w:rFonts w:cs="Times New Roman"/>
              </w:rPr>
            </w:pPr>
            <w:r w:rsidRPr="008F5FDA">
              <w:rPr>
                <w:rFonts w:cs="Times New Roman"/>
              </w:rPr>
              <w:t>88.2%</w:t>
            </w:r>
          </w:p>
        </w:tc>
      </w:tr>
      <w:tr w14:paraId="1EAB2BE1" w14:textId="77777777" w:rsidTr="00DB1669">
        <w:tblPrEx>
          <w:tblW w:w="9360" w:type="dxa"/>
          <w:tblLook w:val="00A0"/>
        </w:tblPrEx>
        <w:trPr>
          <w:cantSplit/>
        </w:trPr>
        <w:tc>
          <w:tcPr>
            <w:tcW w:w="2065" w:type="dxa"/>
            <w:shd w:val="clear" w:color="auto" w:fill="BFBFBF" w:themeFill="background1" w:themeFillShade="BF"/>
            <w:vAlign w:val="bottom"/>
          </w:tcPr>
          <w:p w:rsidR="008F5FDA" w:rsidRPr="005B7CDC" w:rsidP="008F5FDA" w14:paraId="54DF1F39" w14:textId="77777777">
            <w:pPr>
              <w:spacing w:after="120"/>
              <w:jc w:val="right"/>
              <w:rPr>
                <w:rFonts w:cs="Times New Roman"/>
              </w:rPr>
            </w:pPr>
            <w:r w:rsidRPr="000E1D0E">
              <w:rPr>
                <w:rFonts w:cs="Times New Roman"/>
                <w:b/>
                <w:i/>
                <w:iCs/>
                <w:color w:val="000000"/>
                <w:kern w:val="0"/>
              </w:rPr>
              <w:t>All Total</w:t>
            </w:r>
          </w:p>
        </w:tc>
        <w:tc>
          <w:tcPr>
            <w:tcW w:w="2160" w:type="dxa"/>
            <w:shd w:val="clear" w:color="auto" w:fill="BFBFBF" w:themeFill="background1" w:themeFillShade="BF"/>
            <w:vAlign w:val="bottom"/>
          </w:tcPr>
          <w:p w:rsidR="008F5FDA" w:rsidRPr="008F5FDA" w:rsidP="008F5FDA" w14:paraId="0EBDAB72" w14:textId="1D72D9AB">
            <w:pPr>
              <w:spacing w:after="120"/>
              <w:jc w:val="center"/>
              <w:rPr>
                <w:rFonts w:cs="Times New Roman"/>
                <w:b/>
              </w:rPr>
            </w:pPr>
            <w:r w:rsidRPr="008F5FDA">
              <w:rPr>
                <w:rFonts w:cs="Times New Roman"/>
                <w:b/>
              </w:rPr>
              <w:t>196</w:t>
            </w:r>
            <w:r w:rsidR="00735414">
              <w:rPr>
                <w:rFonts w:cs="Times New Roman"/>
                <w:b/>
              </w:rPr>
              <w:t>58</w:t>
            </w:r>
          </w:p>
        </w:tc>
        <w:tc>
          <w:tcPr>
            <w:tcW w:w="2610" w:type="dxa"/>
            <w:shd w:val="clear" w:color="auto" w:fill="BFBFBF" w:themeFill="background1" w:themeFillShade="BF"/>
            <w:vAlign w:val="bottom"/>
          </w:tcPr>
          <w:p w:rsidR="008F5FDA" w:rsidRPr="008F5FDA" w:rsidP="008F5FDA" w14:paraId="1D66F0CF" w14:textId="364D8501">
            <w:pPr>
              <w:spacing w:after="120"/>
              <w:jc w:val="center"/>
              <w:rPr>
                <w:rFonts w:cs="Times New Roman"/>
                <w:b/>
              </w:rPr>
            </w:pPr>
            <w:r w:rsidRPr="008F5FDA">
              <w:rPr>
                <w:rFonts w:cs="Times New Roman"/>
                <w:b/>
              </w:rPr>
              <w:t>190</w:t>
            </w:r>
            <w:r w:rsidR="00735414">
              <w:rPr>
                <w:rFonts w:cs="Times New Roman"/>
                <w:b/>
              </w:rPr>
              <w:t>37</w:t>
            </w:r>
          </w:p>
        </w:tc>
        <w:tc>
          <w:tcPr>
            <w:tcW w:w="2525" w:type="dxa"/>
            <w:shd w:val="clear" w:color="auto" w:fill="BFBFBF" w:themeFill="background1" w:themeFillShade="BF"/>
            <w:vAlign w:val="bottom"/>
          </w:tcPr>
          <w:p w:rsidR="008F5FDA" w:rsidRPr="008F5FDA" w:rsidP="008F5FDA" w14:paraId="1130F81D" w14:textId="77777777">
            <w:pPr>
              <w:keepNext/>
              <w:keepLines/>
              <w:spacing w:after="120"/>
              <w:jc w:val="center"/>
              <w:rPr>
                <w:rFonts w:cs="Times New Roman"/>
                <w:b/>
              </w:rPr>
            </w:pPr>
            <w:r w:rsidRPr="008F5FDA">
              <w:rPr>
                <w:rFonts w:cs="Times New Roman"/>
                <w:b/>
              </w:rPr>
              <w:t>96.8%</w:t>
            </w:r>
          </w:p>
        </w:tc>
      </w:tr>
    </w:tbl>
    <w:p w:rsidR="004E3D74" w:rsidRPr="00B57342" w:rsidP="004E3D74" w14:paraId="27BF2B2F" w14:textId="77777777">
      <w:pPr>
        <w:rPr>
          <w:rFonts w:cs="Times New Roman"/>
          <w:b/>
          <w:caps/>
          <w:szCs w:val="22"/>
        </w:rPr>
      </w:pPr>
      <w:r w:rsidRPr="00B57342">
        <w:rPr>
          <w:rFonts w:cs="Times New Roman"/>
          <w:szCs w:val="22"/>
        </w:rPr>
        <w:br w:type="page"/>
      </w:r>
    </w:p>
    <w:p w:rsidR="004E3D74" w:rsidRPr="00B57342" w:rsidP="00A0777D" w14:paraId="6BE878BF" w14:textId="77777777">
      <w:pPr>
        <w:pStyle w:val="Heading2"/>
      </w:pPr>
      <w:bookmarkStart w:id="143" w:name="_Toc477433271"/>
      <w:bookmarkStart w:id="144" w:name="_Toc479002015"/>
      <w:bookmarkStart w:id="145" w:name="_Toc477433470"/>
      <w:bookmarkStart w:id="146" w:name="_Toc507169467"/>
      <w:bookmarkStart w:id="147" w:name="_Toc507169596"/>
      <w:bookmarkStart w:id="148" w:name="_Toc507169921"/>
      <w:bookmarkStart w:id="149" w:name="_Toc507170357"/>
      <w:bookmarkStart w:id="150" w:name="_Toc507170703"/>
      <w:bookmarkStart w:id="151" w:name="_Toc507171299"/>
      <w:bookmarkStart w:id="152" w:name="_Toc507171660"/>
      <w:bookmarkStart w:id="153" w:name="_Toc507772322"/>
      <w:bookmarkStart w:id="154" w:name="_Toc507772709"/>
      <w:bookmarkStart w:id="155" w:name="_Toc508315395"/>
      <w:bookmarkStart w:id="156" w:name="_Toc508315982"/>
      <w:bookmarkStart w:id="157" w:name="_Toc511290794"/>
      <w:bookmarkStart w:id="158" w:name="_Toc511291586"/>
      <w:bookmarkStart w:id="159" w:name="_Toc5614036"/>
      <w:bookmarkEnd w:id="142"/>
      <w:r w:rsidRPr="00B57342">
        <w:t>Breakdown of Test Performance by EAS Participant Type</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4E3D74" w:rsidP="00215974" w14:paraId="506D2CF3" w14:textId="3D605051">
      <w:pPr>
        <w:pStyle w:val="ParaNum"/>
        <w:numPr>
          <w:ilvl w:val="0"/>
          <w:numId w:val="0"/>
        </w:numPr>
        <w:spacing w:before="120" w:after="0"/>
        <w:rPr>
          <w:rFonts w:cs="Times New Roman"/>
        </w:rPr>
      </w:pPr>
      <w:r w:rsidRPr="005B7CDC">
        <w:rPr>
          <w:rFonts w:cs="Times New Roman"/>
        </w:rPr>
        <w:t xml:space="preserve">ETRS Form Two asked EAS Participants whether they had successfully received and retransmitted the test alert on </w:t>
      </w:r>
      <w:r w:rsidR="00D47B6A">
        <w:rPr>
          <w:rFonts w:cs="Times New Roman"/>
        </w:rPr>
        <w:t>October 3</w:t>
      </w:r>
      <w:r w:rsidRPr="005B7CDC">
        <w:rPr>
          <w:rFonts w:cs="Times New Roman"/>
        </w:rPr>
        <w:t>, 201</w:t>
      </w:r>
      <w:r w:rsidR="00D47B6A">
        <w:rPr>
          <w:rFonts w:cs="Times New Roman"/>
        </w:rPr>
        <w:t>8</w:t>
      </w:r>
      <w:r w:rsidRPr="005B7CDC">
        <w:rPr>
          <w:rFonts w:cs="Times New Roman"/>
        </w:rPr>
        <w:t xml:space="preserve">.  </w:t>
      </w:r>
      <w:r w:rsidRPr="009155CF">
        <w:rPr>
          <w:rFonts w:cs="Times New Roman"/>
          <w:b/>
        </w:rPr>
        <w:t xml:space="preserve">Table </w:t>
      </w:r>
      <w:r w:rsidR="00735414">
        <w:rPr>
          <w:rFonts w:cs="Times New Roman"/>
          <w:b/>
        </w:rPr>
        <w:t>6</w:t>
      </w:r>
      <w:r w:rsidRPr="005B7CDC">
        <w:rPr>
          <w:rFonts w:cs="Times New Roman"/>
        </w:rPr>
        <w:t xml:space="preserve"> shows test participants’ success </w:t>
      </w:r>
      <w:r w:rsidRPr="00341818">
        <w:rPr>
          <w:rFonts w:cs="Times New Roman"/>
        </w:rPr>
        <w:t>rates for alert receipt and retransmission.  This data indicates that 95.</w:t>
      </w:r>
      <w:r w:rsidR="001C752A">
        <w:rPr>
          <w:rFonts w:cs="Times New Roman"/>
        </w:rPr>
        <w:t>7</w:t>
      </w:r>
      <w:r w:rsidRPr="00341818">
        <w:rPr>
          <w:rFonts w:cs="Times New Roman"/>
        </w:rPr>
        <w:t xml:space="preserve">% of test participants successfully received the alert.  </w:t>
      </w:r>
      <w:r w:rsidR="00A0777D">
        <w:rPr>
          <w:rFonts w:cs="Times New Roman"/>
        </w:rPr>
        <w:t>This is almost the same as</w:t>
      </w:r>
      <w:r w:rsidRPr="00341818">
        <w:rPr>
          <w:rFonts w:cs="Times New Roman"/>
        </w:rPr>
        <w:t xml:space="preserve"> the 95.</w:t>
      </w:r>
      <w:r w:rsidR="009415DD">
        <w:rPr>
          <w:rFonts w:cs="Times New Roman"/>
        </w:rPr>
        <w:t>8</w:t>
      </w:r>
      <w:r w:rsidRPr="00341818">
        <w:rPr>
          <w:rFonts w:cs="Times New Roman"/>
        </w:rPr>
        <w:t>% success rate that was observed in 201</w:t>
      </w:r>
      <w:r w:rsidR="009415DD">
        <w:rPr>
          <w:rFonts w:cs="Times New Roman"/>
        </w:rPr>
        <w:t>7</w:t>
      </w:r>
      <w:r w:rsidR="00A0777D">
        <w:rPr>
          <w:rFonts w:cs="Times New Roman"/>
        </w:rPr>
        <w:t xml:space="preserve">.  In addition, </w:t>
      </w:r>
      <w:r w:rsidR="007A0097">
        <w:rPr>
          <w:rFonts w:cs="Times New Roman"/>
        </w:rPr>
        <w:t>the number of test participants and the number reporting successful receipt of the alert both increased this year</w:t>
      </w:r>
      <w:r w:rsidRPr="00341818">
        <w:rPr>
          <w:rFonts w:cs="Times New Roman"/>
        </w:rPr>
        <w:t>.</w:t>
      </w:r>
      <w:r>
        <w:rPr>
          <w:rStyle w:val="FootnoteReference"/>
        </w:rPr>
        <w:footnoteReference w:id="66"/>
      </w:r>
      <w:r w:rsidRPr="005B7CDC">
        <w:rPr>
          <w:rFonts w:cs="Times New Roman"/>
        </w:rPr>
        <w:t xml:space="preserve">  Test participants experienced additiona</w:t>
      </w:r>
      <w:r w:rsidRPr="00341818">
        <w:rPr>
          <w:rFonts w:cs="Times New Roman"/>
        </w:rPr>
        <w:t>l complications with retransmitting the alert to the public and other EAS Participants, but still achieved a success rate of 9</w:t>
      </w:r>
      <w:r w:rsidR="008A2343">
        <w:rPr>
          <w:rFonts w:cs="Times New Roman"/>
        </w:rPr>
        <w:t>2</w:t>
      </w:r>
      <w:r w:rsidR="00735414">
        <w:rPr>
          <w:rFonts w:cs="Times New Roman"/>
        </w:rPr>
        <w:t>.1</w:t>
      </w:r>
      <w:r w:rsidRPr="00341818">
        <w:rPr>
          <w:rFonts w:cs="Times New Roman"/>
        </w:rPr>
        <w:t>%.</w:t>
      </w:r>
      <w:r w:rsidRPr="00341818" w:rsidR="00DB1669">
        <w:rPr>
          <w:rFonts w:cs="Times New Roman"/>
        </w:rPr>
        <w:t xml:space="preserve"> </w:t>
      </w:r>
      <w:r w:rsidR="00DB1669">
        <w:rPr>
          <w:rFonts w:cs="Times New Roman"/>
        </w:rPr>
        <w:t xml:space="preserve"> </w:t>
      </w:r>
      <w:r w:rsidRPr="00341818" w:rsidR="00DB1669">
        <w:rPr>
          <w:rFonts w:cs="Times New Roman"/>
        </w:rPr>
        <w:t xml:space="preserve">SDARS, </w:t>
      </w:r>
      <w:r w:rsidR="00807912">
        <w:rPr>
          <w:rFonts w:cs="Times New Roman"/>
        </w:rPr>
        <w:t xml:space="preserve">DBS, </w:t>
      </w:r>
      <w:r w:rsidR="001E7EA4">
        <w:rPr>
          <w:rFonts w:cs="Times New Roman"/>
        </w:rPr>
        <w:t>w</w:t>
      </w:r>
      <w:r w:rsidR="008A2343">
        <w:rPr>
          <w:rFonts w:cs="Times New Roman"/>
        </w:rPr>
        <w:t xml:space="preserve">ireline </w:t>
      </w:r>
      <w:r w:rsidR="001E7EA4">
        <w:rPr>
          <w:rFonts w:cs="Times New Roman"/>
        </w:rPr>
        <w:t>v</w:t>
      </w:r>
      <w:r w:rsidR="008A2343">
        <w:rPr>
          <w:rFonts w:cs="Times New Roman"/>
        </w:rPr>
        <w:t xml:space="preserve">ideo </w:t>
      </w:r>
      <w:r w:rsidR="001E7EA4">
        <w:rPr>
          <w:rFonts w:cs="Times New Roman"/>
        </w:rPr>
        <w:t>s</w:t>
      </w:r>
      <w:r w:rsidR="008A2343">
        <w:rPr>
          <w:rFonts w:cs="Times New Roman"/>
        </w:rPr>
        <w:t>ystems</w:t>
      </w:r>
      <w:r w:rsidR="00703FE6">
        <w:rPr>
          <w:rFonts w:cs="Times New Roman"/>
        </w:rPr>
        <w:t>,</w:t>
      </w:r>
      <w:r w:rsidR="008A2343">
        <w:rPr>
          <w:rFonts w:cs="Times New Roman"/>
        </w:rPr>
        <w:t xml:space="preserve"> </w:t>
      </w:r>
      <w:r w:rsidRPr="00341818" w:rsidR="00DB1669">
        <w:rPr>
          <w:rFonts w:cs="Times New Roman"/>
        </w:rPr>
        <w:t xml:space="preserve">and </w:t>
      </w:r>
      <w:r w:rsidR="0081225E">
        <w:rPr>
          <w:rFonts w:cs="Times New Roman"/>
        </w:rPr>
        <w:t>o</w:t>
      </w:r>
      <w:r w:rsidRPr="00341818" w:rsidR="00DB1669">
        <w:rPr>
          <w:rFonts w:cs="Times New Roman"/>
        </w:rPr>
        <w:t xml:space="preserve">ther </w:t>
      </w:r>
      <w:r w:rsidR="0081225E">
        <w:rPr>
          <w:rFonts w:cs="Times New Roman"/>
        </w:rPr>
        <w:t>communications providers</w:t>
      </w:r>
      <w:r>
        <w:rPr>
          <w:rStyle w:val="FootnoteReference"/>
        </w:rPr>
        <w:footnoteReference w:id="67"/>
      </w:r>
      <w:r w:rsidR="0081225E">
        <w:rPr>
          <w:rFonts w:cs="Times New Roman"/>
        </w:rPr>
        <w:t xml:space="preserve"> </w:t>
      </w:r>
      <w:r w:rsidRPr="00341818" w:rsidR="00DB1669">
        <w:rPr>
          <w:rFonts w:cs="Times New Roman"/>
        </w:rPr>
        <w:t xml:space="preserve">had the highest </w:t>
      </w:r>
      <w:r w:rsidR="00807912">
        <w:rPr>
          <w:rFonts w:cs="Times New Roman"/>
        </w:rPr>
        <w:t xml:space="preserve">receipt </w:t>
      </w:r>
      <w:r w:rsidRPr="00341818" w:rsidR="00DB1669">
        <w:rPr>
          <w:rFonts w:cs="Times New Roman"/>
        </w:rPr>
        <w:t>success rate</w:t>
      </w:r>
      <w:r w:rsidR="00703FE6">
        <w:rPr>
          <w:rFonts w:cs="Times New Roman"/>
        </w:rPr>
        <w:t>s</w:t>
      </w:r>
      <w:r w:rsidRPr="00341818" w:rsidR="00DB1669">
        <w:rPr>
          <w:rFonts w:cs="Times New Roman"/>
        </w:rPr>
        <w:t xml:space="preserve">.  </w:t>
      </w:r>
      <w:r w:rsidRPr="00A875C5">
        <w:rPr>
          <w:rFonts w:cs="Times New Roman"/>
        </w:rPr>
        <w:t>9</w:t>
      </w:r>
      <w:r w:rsidR="00805626">
        <w:rPr>
          <w:rFonts w:cs="Times New Roman"/>
        </w:rPr>
        <w:t>6</w:t>
      </w:r>
      <w:r w:rsidRPr="00A875C5">
        <w:rPr>
          <w:rFonts w:cs="Times New Roman"/>
        </w:rPr>
        <w:t>.</w:t>
      </w:r>
      <w:r w:rsidR="008A2343">
        <w:rPr>
          <w:rFonts w:cs="Times New Roman"/>
        </w:rPr>
        <w:t>4</w:t>
      </w:r>
      <w:r w:rsidRPr="00A875C5">
        <w:rPr>
          <w:rFonts w:cs="Times New Roman"/>
        </w:rPr>
        <w:t xml:space="preserve">% </w:t>
      </w:r>
      <w:r w:rsidR="003A1237">
        <w:rPr>
          <w:rFonts w:cs="Times New Roman"/>
        </w:rPr>
        <w:t xml:space="preserve">of radio broadcasters </w:t>
      </w:r>
      <w:r w:rsidRPr="00A875C5">
        <w:rPr>
          <w:rFonts w:cs="Times New Roman"/>
        </w:rPr>
        <w:t>successfully received the alert</w:t>
      </w:r>
      <w:r w:rsidR="003A1237">
        <w:rPr>
          <w:rFonts w:cs="Times New Roman"/>
        </w:rPr>
        <w:t>,</w:t>
      </w:r>
      <w:r w:rsidRPr="00A875C5">
        <w:rPr>
          <w:rFonts w:cs="Times New Roman"/>
        </w:rPr>
        <w:t xml:space="preserve"> and 9</w:t>
      </w:r>
      <w:r w:rsidR="00805626">
        <w:rPr>
          <w:rFonts w:cs="Times New Roman"/>
        </w:rPr>
        <w:t>3</w:t>
      </w:r>
      <w:r w:rsidR="00C9091A">
        <w:rPr>
          <w:rFonts w:cs="Times New Roman"/>
        </w:rPr>
        <w:t>.</w:t>
      </w:r>
      <w:r w:rsidR="008A2343">
        <w:rPr>
          <w:rFonts w:cs="Times New Roman"/>
        </w:rPr>
        <w:t>7</w:t>
      </w:r>
      <w:r w:rsidRPr="00A875C5">
        <w:rPr>
          <w:rFonts w:cs="Times New Roman"/>
        </w:rPr>
        <w:t xml:space="preserve">% successfully retransmitted it.  </w:t>
      </w:r>
      <w:r w:rsidR="008A2343">
        <w:rPr>
          <w:rFonts w:cs="Times New Roman"/>
        </w:rPr>
        <w:t>For the first time, 100% of wireline video systems successfully received the alert</w:t>
      </w:r>
      <w:r w:rsidR="00766CA6">
        <w:rPr>
          <w:rFonts w:cs="Times New Roman"/>
        </w:rPr>
        <w:t>, though only 90.5% were able to retransmit it, which is a slight decline from 93.8% in 2017</w:t>
      </w:r>
      <w:r w:rsidR="008A2343">
        <w:rPr>
          <w:rFonts w:cs="Times New Roman"/>
        </w:rPr>
        <w:t>.</w:t>
      </w:r>
      <w:r>
        <w:rPr>
          <w:rStyle w:val="FootnoteReference"/>
        </w:rPr>
        <w:footnoteReference w:id="68"/>
      </w:r>
      <w:r w:rsidR="008A2343">
        <w:rPr>
          <w:rFonts w:cs="Times New Roman"/>
        </w:rPr>
        <w:t xml:space="preserve">  Additionally, though slightly more successful than 2017,</w:t>
      </w:r>
      <w:r w:rsidRPr="00A875C5">
        <w:rPr>
          <w:rFonts w:cs="Times New Roman"/>
        </w:rPr>
        <w:t xml:space="preserve"> television broadcasters</w:t>
      </w:r>
      <w:r w:rsidR="008A2343">
        <w:rPr>
          <w:rFonts w:cs="Times New Roman"/>
        </w:rPr>
        <w:t xml:space="preserve"> continue to report </w:t>
      </w:r>
      <w:r w:rsidR="00807912">
        <w:rPr>
          <w:rFonts w:cs="Times New Roman"/>
        </w:rPr>
        <w:t>below average</w:t>
      </w:r>
      <w:r w:rsidR="008A2343">
        <w:rPr>
          <w:rFonts w:cs="Times New Roman"/>
        </w:rPr>
        <w:t xml:space="preserve"> success rates</w:t>
      </w:r>
      <w:r w:rsidRPr="00A875C5">
        <w:rPr>
          <w:rFonts w:cs="Times New Roman"/>
        </w:rPr>
        <w:t xml:space="preserve">, </w:t>
      </w:r>
      <w:r w:rsidR="008A2343">
        <w:rPr>
          <w:rFonts w:cs="Times New Roman"/>
        </w:rPr>
        <w:t>with</w:t>
      </w:r>
      <w:r w:rsidRPr="00A875C5">
        <w:rPr>
          <w:rFonts w:cs="Times New Roman"/>
        </w:rPr>
        <w:t xml:space="preserve"> </w:t>
      </w:r>
      <w:r w:rsidRPr="0034537C" w:rsidR="008A2343">
        <w:rPr>
          <w:rFonts w:cs="Times New Roman"/>
          <w:color w:val="000000"/>
          <w:kern w:val="0"/>
        </w:rPr>
        <w:t>89.5</w:t>
      </w:r>
      <w:r w:rsidRPr="00A875C5">
        <w:rPr>
          <w:rFonts w:cs="Times New Roman"/>
        </w:rPr>
        <w:t xml:space="preserve">% successfully </w:t>
      </w:r>
      <w:r w:rsidR="008A2343">
        <w:rPr>
          <w:rFonts w:cs="Times New Roman"/>
        </w:rPr>
        <w:t>receiving</w:t>
      </w:r>
      <w:r w:rsidRPr="00A875C5">
        <w:rPr>
          <w:rFonts w:cs="Times New Roman"/>
        </w:rPr>
        <w:t xml:space="preserve"> the alert and </w:t>
      </w:r>
      <w:r w:rsidRPr="0034537C" w:rsidR="008A2343">
        <w:rPr>
          <w:rFonts w:cs="Times New Roman"/>
          <w:color w:val="000000"/>
          <w:kern w:val="0"/>
        </w:rPr>
        <w:t>84.5</w:t>
      </w:r>
      <w:r w:rsidRPr="00A875C5">
        <w:rPr>
          <w:rFonts w:cs="Times New Roman"/>
        </w:rPr>
        <w:t xml:space="preserve">% successfully </w:t>
      </w:r>
      <w:r w:rsidR="008A2343">
        <w:rPr>
          <w:rFonts w:cs="Times New Roman"/>
        </w:rPr>
        <w:t>retransmitting</w:t>
      </w:r>
      <w:r w:rsidRPr="006933E2">
        <w:rPr>
          <w:rFonts w:cs="Times New Roman"/>
        </w:rPr>
        <w:t xml:space="preserve">; this shows a </w:t>
      </w:r>
      <w:r w:rsidR="00805626">
        <w:rPr>
          <w:rFonts w:cs="Times New Roman"/>
        </w:rPr>
        <w:t>slight increase</w:t>
      </w:r>
      <w:r w:rsidRPr="006933E2">
        <w:rPr>
          <w:rFonts w:cs="Times New Roman"/>
        </w:rPr>
        <w:t xml:space="preserve"> as compared to 201</w:t>
      </w:r>
      <w:r w:rsidR="00805626">
        <w:rPr>
          <w:rFonts w:cs="Times New Roman"/>
        </w:rPr>
        <w:t>7</w:t>
      </w:r>
      <w:r w:rsidRPr="006933E2">
        <w:rPr>
          <w:rFonts w:cs="Times New Roman"/>
        </w:rPr>
        <w:t xml:space="preserve"> where </w:t>
      </w:r>
      <w:r w:rsidR="00805626">
        <w:rPr>
          <w:rFonts w:cs="Times New Roman"/>
        </w:rPr>
        <w:t>88.6</w:t>
      </w:r>
      <w:r w:rsidRPr="006933E2">
        <w:rPr>
          <w:rFonts w:cs="Times New Roman"/>
        </w:rPr>
        <w:t xml:space="preserve">% successfully received </w:t>
      </w:r>
      <w:r w:rsidRPr="00860A93" w:rsidR="00946FB1">
        <w:rPr>
          <w:rFonts w:cs="Times New Roman"/>
        </w:rPr>
        <w:t xml:space="preserve">the </w:t>
      </w:r>
      <w:r w:rsidRPr="00860A93">
        <w:rPr>
          <w:rFonts w:cs="Times New Roman"/>
        </w:rPr>
        <w:t>alert and 8</w:t>
      </w:r>
      <w:r w:rsidR="00805626">
        <w:rPr>
          <w:rFonts w:cs="Times New Roman"/>
        </w:rPr>
        <w:t>3.5</w:t>
      </w:r>
      <w:r w:rsidRPr="00D6327E" w:rsidR="00946FB1">
        <w:rPr>
          <w:rFonts w:cs="Times New Roman"/>
        </w:rPr>
        <w:t>%</w:t>
      </w:r>
      <w:r w:rsidRPr="00D6327E">
        <w:rPr>
          <w:rFonts w:cs="Times New Roman"/>
        </w:rPr>
        <w:t xml:space="preserve"> w</w:t>
      </w:r>
      <w:r w:rsidRPr="00C517A5" w:rsidR="00946FB1">
        <w:rPr>
          <w:rFonts w:cs="Times New Roman"/>
        </w:rPr>
        <w:t>ere</w:t>
      </w:r>
      <w:r w:rsidRPr="00C517A5">
        <w:rPr>
          <w:rFonts w:cs="Times New Roman"/>
        </w:rPr>
        <w:t xml:space="preserve"> able to retransmit.</w:t>
      </w:r>
      <w:r>
        <w:rPr>
          <w:rStyle w:val="FootnoteReference"/>
        </w:rPr>
        <w:footnoteReference w:id="69"/>
      </w:r>
    </w:p>
    <w:p w:rsidR="004B5B36" w:rsidRPr="00085542" w:rsidP="00215974" w14:paraId="09C79F41" w14:textId="77777777">
      <w:pPr>
        <w:pStyle w:val="ParaNum"/>
        <w:numPr>
          <w:ilvl w:val="0"/>
          <w:numId w:val="0"/>
        </w:numPr>
        <w:spacing w:before="120" w:after="0"/>
        <w:rPr>
          <w:rFonts w:cs="Times New Roman"/>
          <w:b/>
        </w:rPr>
      </w:pPr>
    </w:p>
    <w:p w:rsidR="004E3D74" w:rsidRPr="00785A17" w:rsidP="004E3D74" w14:paraId="07623FF8" w14:textId="2DBD97DE">
      <w:pPr>
        <w:pStyle w:val="ParaNum"/>
        <w:keepNext/>
        <w:keepLines/>
        <w:numPr>
          <w:ilvl w:val="0"/>
          <w:numId w:val="0"/>
        </w:numPr>
        <w:rPr>
          <w:rFonts w:cs="Times New Roman"/>
          <w:b/>
        </w:rPr>
      </w:pPr>
      <w:r w:rsidRPr="00785A17">
        <w:rPr>
          <w:rFonts w:cs="Times New Roman"/>
          <w:b/>
        </w:rPr>
        <w:t xml:space="preserve">Table </w:t>
      </w:r>
      <w:r w:rsidR="00735414">
        <w:rPr>
          <w:rFonts w:cs="Times New Roman"/>
          <w:b/>
        </w:rPr>
        <w:t>6</w:t>
      </w:r>
      <w:r w:rsidR="00E144F3">
        <w:rPr>
          <w:rFonts w:cs="Times New Roman"/>
          <w:b/>
        </w:rPr>
        <w:t>.</w:t>
      </w:r>
      <w:r w:rsidRPr="00785A17">
        <w:rPr>
          <w:rFonts w:cs="Times New Roman"/>
          <w:b/>
        </w:rPr>
        <w:t xml:space="preserve"> Test Performance by Participant Type</w:t>
      </w:r>
      <w:r w:rsidR="000E2C02">
        <w:rPr>
          <w:rFonts w:cs="Times New Roman"/>
          <w:b/>
        </w:rPr>
        <w:t xml:space="preserve"> </w:t>
      </w:r>
    </w:p>
    <w:tbl>
      <w:tblPr>
        <w:tblW w:w="9262" w:type="dxa"/>
        <w:tblInd w:w="93" w:type="dxa"/>
        <w:tblLayout w:type="fixed"/>
        <w:tblLook w:val="0000"/>
      </w:tblPr>
      <w:tblGrid>
        <w:gridCol w:w="1882"/>
        <w:gridCol w:w="1823"/>
        <w:gridCol w:w="1389"/>
        <w:gridCol w:w="1389"/>
        <w:gridCol w:w="1389"/>
        <w:gridCol w:w="1390"/>
      </w:tblGrid>
      <w:tr w14:paraId="7BFED309" w14:textId="77777777" w:rsidTr="00085542">
        <w:tblPrEx>
          <w:tblW w:w="9262" w:type="dxa"/>
          <w:tblInd w:w="93" w:type="dxa"/>
          <w:tblLayout w:type="fixed"/>
          <w:tblLook w:val="0000"/>
        </w:tblPrEx>
        <w:trPr>
          <w:trHeight w:val="467"/>
        </w:trPr>
        <w:tc>
          <w:tcPr>
            <w:tcW w:w="1882" w:type="dxa"/>
            <w:vMerge w:val="restart"/>
            <w:tcBorders>
              <w:top w:val="single" w:sz="4" w:space="0" w:color="auto"/>
              <w:left w:val="single" w:sz="4" w:space="0" w:color="auto"/>
              <w:right w:val="single" w:sz="4" w:space="0" w:color="auto"/>
            </w:tcBorders>
            <w:shd w:val="clear" w:color="auto" w:fill="C0C0C0"/>
            <w:noWrap/>
            <w:vAlign w:val="bottom"/>
          </w:tcPr>
          <w:p w:rsidR="004E3D74" w:rsidRPr="00085542" w:rsidP="00085542" w14:paraId="5F3CD0D4" w14:textId="77777777">
            <w:pPr>
              <w:keepNext/>
              <w:keepLines/>
              <w:spacing w:after="120"/>
              <w:jc w:val="center"/>
              <w:rPr>
                <w:rFonts w:cs="Times New Roman"/>
                <w:b/>
                <w:color w:val="000000"/>
                <w:kern w:val="0"/>
              </w:rPr>
            </w:pPr>
            <w:r w:rsidRPr="255FCAE1">
              <w:rPr>
                <w:rFonts w:cs="Times New Roman"/>
                <w:b/>
                <w:color w:val="000000"/>
                <w:kern w:val="0"/>
              </w:rPr>
              <w:t>EAS Participant Type</w:t>
            </w:r>
          </w:p>
        </w:tc>
        <w:tc>
          <w:tcPr>
            <w:tcW w:w="1823" w:type="dxa"/>
            <w:vMerge w:val="restart"/>
            <w:tcBorders>
              <w:top w:val="single" w:sz="4" w:space="0" w:color="auto"/>
              <w:left w:val="single" w:sz="4" w:space="0" w:color="auto"/>
              <w:right w:val="single" w:sz="4" w:space="0" w:color="auto"/>
            </w:tcBorders>
            <w:shd w:val="clear" w:color="auto" w:fill="C0C0C0"/>
            <w:vAlign w:val="bottom"/>
          </w:tcPr>
          <w:p w:rsidR="004E3D74" w:rsidRPr="00085542" w:rsidP="00085542" w14:paraId="3B2436A6" w14:textId="77777777">
            <w:pPr>
              <w:keepNext/>
              <w:keepLines/>
              <w:spacing w:after="120"/>
              <w:jc w:val="center"/>
              <w:rPr>
                <w:rFonts w:cs="Times New Roman"/>
                <w:b/>
                <w:color w:val="000000" w:themeColor="text1"/>
              </w:rPr>
            </w:pPr>
            <w:r w:rsidRPr="24E97C35">
              <w:rPr>
                <w:rFonts w:cs="Times New Roman"/>
                <w:b/>
                <w:color w:val="000000"/>
                <w:kern w:val="0"/>
              </w:rPr>
              <w:t>Test Participants</w:t>
            </w:r>
          </w:p>
        </w:tc>
        <w:tc>
          <w:tcPr>
            <w:tcW w:w="2778" w:type="dxa"/>
            <w:gridSpan w:val="2"/>
            <w:tcBorders>
              <w:top w:val="single" w:sz="4" w:space="0" w:color="auto"/>
              <w:left w:val="single" w:sz="4" w:space="0" w:color="auto"/>
              <w:right w:val="single" w:sz="4" w:space="0" w:color="auto"/>
            </w:tcBorders>
            <w:shd w:val="clear" w:color="auto" w:fill="C0C0C0"/>
            <w:vAlign w:val="bottom"/>
          </w:tcPr>
          <w:p w:rsidR="004E3D74" w:rsidRPr="00085542" w:rsidP="00085542" w14:paraId="77514BC7" w14:textId="77777777">
            <w:pPr>
              <w:keepNext/>
              <w:keepLines/>
              <w:spacing w:after="120"/>
              <w:jc w:val="center"/>
              <w:rPr>
                <w:rFonts w:cs="Times New Roman"/>
                <w:b/>
                <w:color w:val="000000"/>
                <w:kern w:val="0"/>
              </w:rPr>
            </w:pPr>
            <w:r w:rsidRPr="255FCAE1">
              <w:rPr>
                <w:rFonts w:cs="Times New Roman"/>
                <w:b/>
                <w:color w:val="000000"/>
                <w:kern w:val="0"/>
              </w:rPr>
              <w:t xml:space="preserve">Successfully </w:t>
            </w:r>
            <w:r w:rsidRPr="00B57342" w:rsidR="00213B30">
              <w:rPr>
                <w:rFonts w:cs="Times New Roman"/>
                <w:b/>
                <w:color w:val="000000"/>
                <w:kern w:val="0"/>
                <w:szCs w:val="22"/>
              </w:rPr>
              <w:br/>
            </w:r>
            <w:r w:rsidRPr="255FCAE1">
              <w:rPr>
                <w:rFonts w:cs="Times New Roman"/>
                <w:b/>
                <w:color w:val="000000"/>
                <w:kern w:val="0"/>
              </w:rPr>
              <w:t>Received Alert</w:t>
            </w:r>
          </w:p>
        </w:tc>
        <w:tc>
          <w:tcPr>
            <w:tcW w:w="2779" w:type="dxa"/>
            <w:gridSpan w:val="2"/>
            <w:tcBorders>
              <w:top w:val="single" w:sz="4" w:space="0" w:color="auto"/>
              <w:left w:val="single" w:sz="4" w:space="0" w:color="auto"/>
              <w:right w:val="single" w:sz="4" w:space="0" w:color="auto"/>
            </w:tcBorders>
            <w:shd w:val="clear" w:color="auto" w:fill="C0C0C0"/>
            <w:vAlign w:val="bottom"/>
          </w:tcPr>
          <w:p w:rsidR="004E3D74" w:rsidRPr="00085542" w:rsidP="00085542" w14:paraId="04D50A75" w14:textId="77777777">
            <w:pPr>
              <w:keepNext/>
              <w:keepLines/>
              <w:spacing w:after="120"/>
              <w:jc w:val="center"/>
              <w:rPr>
                <w:rFonts w:cs="Times New Roman"/>
                <w:b/>
                <w:color w:val="000000"/>
                <w:kern w:val="0"/>
              </w:rPr>
            </w:pPr>
            <w:r w:rsidRPr="255FCAE1">
              <w:rPr>
                <w:rFonts w:cs="Times New Roman"/>
                <w:b/>
                <w:color w:val="000000"/>
                <w:kern w:val="0"/>
              </w:rPr>
              <w:t xml:space="preserve">Successfully </w:t>
            </w:r>
            <w:r w:rsidRPr="00B57342" w:rsidR="00946FB1">
              <w:rPr>
                <w:rFonts w:cs="Times New Roman"/>
                <w:b/>
                <w:color w:val="000000"/>
                <w:kern w:val="0"/>
                <w:szCs w:val="22"/>
              </w:rPr>
              <w:br/>
            </w:r>
            <w:r w:rsidRPr="255FCAE1">
              <w:rPr>
                <w:rFonts w:cs="Times New Roman"/>
                <w:b/>
                <w:color w:val="000000"/>
                <w:kern w:val="0"/>
              </w:rPr>
              <w:t>Retransmitted Alert</w:t>
            </w:r>
          </w:p>
        </w:tc>
      </w:tr>
      <w:tr w14:paraId="17D560CC" w14:textId="77777777" w:rsidTr="00085542">
        <w:tblPrEx>
          <w:tblW w:w="9262" w:type="dxa"/>
          <w:tblInd w:w="93" w:type="dxa"/>
          <w:tblLayout w:type="fixed"/>
          <w:tblLook w:val="0000"/>
        </w:tblPrEx>
        <w:trPr>
          <w:trHeight w:val="170"/>
        </w:trPr>
        <w:tc>
          <w:tcPr>
            <w:tcW w:w="1882" w:type="dxa"/>
            <w:vMerge/>
            <w:tcBorders>
              <w:left w:val="single" w:sz="4" w:space="0" w:color="auto"/>
              <w:right w:val="single" w:sz="4" w:space="0" w:color="auto"/>
            </w:tcBorders>
            <w:shd w:val="clear" w:color="auto" w:fill="C0C0C0"/>
            <w:noWrap/>
            <w:vAlign w:val="bottom"/>
          </w:tcPr>
          <w:p w:rsidR="004E3D74" w:rsidRPr="00B57342" w:rsidP="004E3D74" w14:paraId="79F30ABC" w14:textId="77777777">
            <w:pPr>
              <w:keepNext/>
              <w:keepLines/>
              <w:spacing w:after="120"/>
              <w:jc w:val="center"/>
              <w:rPr>
                <w:rFonts w:cs="Times New Roman"/>
                <w:b/>
                <w:color w:val="000000"/>
                <w:kern w:val="0"/>
                <w:szCs w:val="22"/>
              </w:rPr>
            </w:pPr>
          </w:p>
        </w:tc>
        <w:tc>
          <w:tcPr>
            <w:tcW w:w="1823" w:type="dxa"/>
            <w:vMerge/>
            <w:tcBorders>
              <w:left w:val="single" w:sz="4" w:space="0" w:color="auto"/>
              <w:right w:val="single" w:sz="4" w:space="0" w:color="auto"/>
            </w:tcBorders>
            <w:shd w:val="clear" w:color="auto" w:fill="C0C0C0"/>
            <w:vAlign w:val="bottom"/>
          </w:tcPr>
          <w:p w:rsidR="004E3D74" w:rsidRPr="00B57342" w:rsidP="004E3D74" w14:paraId="7BEFC1E8" w14:textId="77777777">
            <w:pPr>
              <w:keepNext/>
              <w:keepLines/>
              <w:spacing w:after="120"/>
              <w:jc w:val="center"/>
              <w:rPr>
                <w:rFonts w:cs="Times New Roman"/>
                <w:b/>
                <w:color w:val="000000"/>
                <w:kern w:val="0"/>
                <w:szCs w:val="22"/>
              </w:rPr>
            </w:pPr>
          </w:p>
        </w:tc>
        <w:tc>
          <w:tcPr>
            <w:tcW w:w="1389" w:type="dxa"/>
            <w:tcBorders>
              <w:top w:val="single" w:sz="4" w:space="0" w:color="auto"/>
              <w:left w:val="single" w:sz="4" w:space="0" w:color="auto"/>
              <w:right w:val="single" w:sz="4" w:space="0" w:color="auto"/>
            </w:tcBorders>
            <w:shd w:val="clear" w:color="auto" w:fill="C0C0C0"/>
            <w:vAlign w:val="bottom"/>
          </w:tcPr>
          <w:p w:rsidR="004E3D74" w:rsidRPr="00085542" w:rsidP="00085542" w14:paraId="37EEEBF9" w14:textId="77777777">
            <w:pPr>
              <w:keepNext/>
              <w:keepLines/>
              <w:spacing w:after="120"/>
              <w:jc w:val="center"/>
              <w:rPr>
                <w:rFonts w:cs="Times New Roman"/>
                <w:b/>
                <w:color w:val="000000"/>
                <w:kern w:val="0"/>
              </w:rPr>
            </w:pPr>
            <w:r w:rsidRPr="255FCAE1">
              <w:rPr>
                <w:rFonts w:cs="Times New Roman"/>
                <w:b/>
                <w:color w:val="000000"/>
                <w:kern w:val="0"/>
              </w:rPr>
              <w:t>#</w:t>
            </w:r>
          </w:p>
        </w:tc>
        <w:tc>
          <w:tcPr>
            <w:tcW w:w="1389" w:type="dxa"/>
            <w:tcBorders>
              <w:top w:val="single" w:sz="4" w:space="0" w:color="auto"/>
              <w:left w:val="single" w:sz="4" w:space="0" w:color="auto"/>
              <w:right w:val="single" w:sz="4" w:space="0" w:color="auto"/>
            </w:tcBorders>
            <w:shd w:val="clear" w:color="auto" w:fill="C0C0C0"/>
            <w:vAlign w:val="bottom"/>
          </w:tcPr>
          <w:p w:rsidR="004E3D74" w:rsidRPr="00085542" w:rsidP="00085542" w14:paraId="63DF91B0" w14:textId="77777777">
            <w:pPr>
              <w:keepNext/>
              <w:keepLines/>
              <w:spacing w:after="120"/>
              <w:jc w:val="center"/>
              <w:rPr>
                <w:rFonts w:cs="Times New Roman"/>
                <w:b/>
                <w:color w:val="000000"/>
                <w:kern w:val="0"/>
              </w:rPr>
            </w:pPr>
            <w:r w:rsidRPr="255FCAE1">
              <w:rPr>
                <w:rFonts w:cs="Times New Roman"/>
                <w:b/>
                <w:color w:val="000000"/>
                <w:kern w:val="0"/>
              </w:rPr>
              <w:t>%</w:t>
            </w:r>
          </w:p>
        </w:tc>
        <w:tc>
          <w:tcPr>
            <w:tcW w:w="1389" w:type="dxa"/>
            <w:tcBorders>
              <w:top w:val="single" w:sz="4" w:space="0" w:color="auto"/>
              <w:left w:val="single" w:sz="4" w:space="0" w:color="auto"/>
              <w:right w:val="single" w:sz="4" w:space="0" w:color="auto"/>
            </w:tcBorders>
            <w:shd w:val="clear" w:color="auto" w:fill="C0C0C0"/>
            <w:vAlign w:val="bottom"/>
          </w:tcPr>
          <w:p w:rsidR="004E3D74" w:rsidRPr="00085542" w:rsidP="00085542" w14:paraId="12E4EBCD" w14:textId="77777777">
            <w:pPr>
              <w:keepNext/>
              <w:keepLines/>
              <w:spacing w:after="120"/>
              <w:jc w:val="center"/>
              <w:rPr>
                <w:rFonts w:cs="Times New Roman"/>
                <w:b/>
                <w:color w:val="000000"/>
                <w:kern w:val="0"/>
              </w:rPr>
            </w:pPr>
            <w:r w:rsidRPr="255FCAE1">
              <w:rPr>
                <w:rFonts w:cs="Times New Roman"/>
                <w:b/>
                <w:color w:val="000000"/>
                <w:kern w:val="0"/>
              </w:rPr>
              <w:t>#</w:t>
            </w:r>
          </w:p>
        </w:tc>
        <w:tc>
          <w:tcPr>
            <w:tcW w:w="1390" w:type="dxa"/>
            <w:tcBorders>
              <w:top w:val="single" w:sz="4" w:space="0" w:color="auto"/>
              <w:left w:val="single" w:sz="4" w:space="0" w:color="auto"/>
              <w:right w:val="single" w:sz="4" w:space="0" w:color="auto"/>
            </w:tcBorders>
            <w:shd w:val="clear" w:color="auto" w:fill="C0C0C0"/>
            <w:vAlign w:val="bottom"/>
          </w:tcPr>
          <w:p w:rsidR="004E3D74" w:rsidRPr="00085542" w:rsidP="00085542" w14:paraId="7336C94C" w14:textId="77777777">
            <w:pPr>
              <w:keepNext/>
              <w:keepLines/>
              <w:spacing w:after="120"/>
              <w:jc w:val="center"/>
              <w:rPr>
                <w:rFonts w:cs="Times New Roman"/>
                <w:b/>
                <w:color w:val="000000"/>
                <w:kern w:val="0"/>
              </w:rPr>
            </w:pPr>
            <w:r w:rsidRPr="255FCAE1">
              <w:rPr>
                <w:rFonts w:cs="Times New Roman"/>
                <w:b/>
                <w:color w:val="000000"/>
                <w:kern w:val="0"/>
              </w:rPr>
              <w:t>%</w:t>
            </w:r>
          </w:p>
        </w:tc>
      </w:tr>
      <w:tr w14:paraId="0F7E5E70" w14:textId="77777777" w:rsidTr="00085542">
        <w:tblPrEx>
          <w:tblW w:w="9262" w:type="dxa"/>
          <w:tblInd w:w="93" w:type="dxa"/>
          <w:tblLayout w:type="fixed"/>
          <w:tblLook w:val="0000"/>
        </w:tblPrEx>
        <w:trPr>
          <w:trHeight w:val="253"/>
        </w:trPr>
        <w:tc>
          <w:tcPr>
            <w:tcW w:w="1882" w:type="dxa"/>
            <w:tcBorders>
              <w:top w:val="nil"/>
              <w:left w:val="single" w:sz="4" w:space="0" w:color="auto"/>
              <w:bottom w:val="single" w:sz="4" w:space="0" w:color="auto"/>
              <w:right w:val="single" w:sz="4" w:space="0" w:color="auto"/>
            </w:tcBorders>
            <w:vAlign w:val="bottom"/>
          </w:tcPr>
          <w:p w:rsidR="0034537C" w:rsidRPr="00341818" w:rsidP="0034537C" w14:paraId="6FEF3312" w14:textId="77777777">
            <w:pPr>
              <w:keepNext/>
              <w:keepLines/>
              <w:spacing w:after="120"/>
              <w:jc w:val="right"/>
              <w:rPr>
                <w:rFonts w:cs="Times New Roman"/>
                <w:color w:val="000000"/>
                <w:kern w:val="0"/>
              </w:rPr>
            </w:pPr>
            <w:r w:rsidRPr="005B7CDC">
              <w:rPr>
                <w:rFonts w:cs="Times New Roman"/>
                <w:color w:val="000000"/>
                <w:kern w:val="0"/>
              </w:rPr>
              <w:t>Radio Broadcasters</w:t>
            </w:r>
          </w:p>
        </w:tc>
        <w:tc>
          <w:tcPr>
            <w:tcW w:w="1823" w:type="dxa"/>
            <w:tcBorders>
              <w:top w:val="nil"/>
              <w:left w:val="single" w:sz="4" w:space="0" w:color="auto"/>
              <w:bottom w:val="single" w:sz="4" w:space="0" w:color="auto"/>
              <w:right w:val="single" w:sz="4" w:space="0" w:color="auto"/>
            </w:tcBorders>
            <w:vAlign w:val="bottom"/>
          </w:tcPr>
          <w:p w:rsidR="0034537C" w:rsidRPr="0034537C" w:rsidP="0034537C" w14:paraId="468725E3" w14:textId="77777777">
            <w:pPr>
              <w:keepNext/>
              <w:keepLines/>
              <w:spacing w:after="120"/>
              <w:jc w:val="center"/>
              <w:rPr>
                <w:rFonts w:cs="Times New Roman"/>
                <w:color w:val="000000"/>
                <w:kern w:val="0"/>
              </w:rPr>
            </w:pPr>
            <w:r w:rsidRPr="0034537C">
              <w:rPr>
                <w:rFonts w:cs="Times New Roman"/>
                <w:color w:val="000000"/>
                <w:kern w:val="0"/>
              </w:rPr>
              <w:t>13435</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49C5421E" w14:textId="77777777">
            <w:pPr>
              <w:keepNext/>
              <w:keepLines/>
              <w:spacing w:after="120"/>
              <w:jc w:val="center"/>
              <w:rPr>
                <w:rFonts w:cs="Times New Roman"/>
                <w:color w:val="000000"/>
                <w:kern w:val="0"/>
              </w:rPr>
            </w:pPr>
            <w:r w:rsidRPr="0034537C">
              <w:rPr>
                <w:rFonts w:cs="Times New Roman"/>
                <w:color w:val="000000"/>
                <w:kern w:val="0"/>
              </w:rPr>
              <w:t>12954</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2F864BC5" w14:textId="77777777">
            <w:pPr>
              <w:keepNext/>
              <w:keepLines/>
              <w:spacing w:after="120"/>
              <w:jc w:val="center"/>
              <w:rPr>
                <w:rFonts w:cs="Times New Roman"/>
                <w:color w:val="000000"/>
                <w:kern w:val="0"/>
              </w:rPr>
            </w:pPr>
            <w:r w:rsidRPr="0034537C">
              <w:rPr>
                <w:rFonts w:cs="Times New Roman"/>
                <w:color w:val="000000"/>
                <w:kern w:val="0"/>
              </w:rPr>
              <w:t>96.4%</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4E159A5C" w14:textId="77777777">
            <w:pPr>
              <w:keepNext/>
              <w:keepLines/>
              <w:spacing w:after="120"/>
              <w:jc w:val="center"/>
              <w:rPr>
                <w:rFonts w:cs="Times New Roman"/>
                <w:color w:val="000000"/>
                <w:kern w:val="0"/>
              </w:rPr>
            </w:pPr>
            <w:r w:rsidRPr="0034537C">
              <w:rPr>
                <w:rFonts w:cs="Times New Roman"/>
                <w:color w:val="000000"/>
                <w:kern w:val="0"/>
              </w:rPr>
              <w:t>12591</w:t>
            </w:r>
          </w:p>
        </w:tc>
        <w:tc>
          <w:tcPr>
            <w:tcW w:w="1390" w:type="dxa"/>
            <w:tcBorders>
              <w:top w:val="nil"/>
              <w:left w:val="single" w:sz="4" w:space="0" w:color="auto"/>
              <w:bottom w:val="single" w:sz="4" w:space="0" w:color="auto"/>
              <w:right w:val="single" w:sz="4" w:space="0" w:color="auto"/>
            </w:tcBorders>
            <w:vAlign w:val="bottom"/>
          </w:tcPr>
          <w:p w:rsidR="0034537C" w:rsidRPr="0034537C" w:rsidP="0034537C" w14:paraId="2DCF9470" w14:textId="77777777">
            <w:pPr>
              <w:keepNext/>
              <w:keepLines/>
              <w:spacing w:after="120"/>
              <w:jc w:val="center"/>
              <w:rPr>
                <w:rFonts w:cs="Times New Roman"/>
                <w:color w:val="000000"/>
                <w:kern w:val="0"/>
              </w:rPr>
            </w:pPr>
            <w:r w:rsidRPr="0034537C">
              <w:rPr>
                <w:rFonts w:cs="Times New Roman"/>
                <w:color w:val="000000"/>
                <w:kern w:val="0"/>
              </w:rPr>
              <w:t>93.7%</w:t>
            </w:r>
          </w:p>
        </w:tc>
      </w:tr>
      <w:tr w14:paraId="62C2735B" w14:textId="77777777" w:rsidTr="00085542">
        <w:tblPrEx>
          <w:tblW w:w="9262" w:type="dxa"/>
          <w:tblInd w:w="93" w:type="dxa"/>
          <w:tblLayout w:type="fixed"/>
          <w:tblLook w:val="0000"/>
        </w:tblPrEx>
        <w:trPr>
          <w:trHeight w:val="253"/>
        </w:trPr>
        <w:tc>
          <w:tcPr>
            <w:tcW w:w="1882" w:type="dxa"/>
            <w:tcBorders>
              <w:top w:val="nil"/>
              <w:left w:val="single" w:sz="4" w:space="0" w:color="auto"/>
              <w:bottom w:val="single" w:sz="4" w:space="0" w:color="auto"/>
              <w:right w:val="single" w:sz="4" w:space="0" w:color="auto"/>
            </w:tcBorders>
            <w:shd w:val="clear" w:color="auto" w:fill="FFFFFF" w:themeFill="background1"/>
            <w:vAlign w:val="bottom"/>
          </w:tcPr>
          <w:p w:rsidR="0034537C" w:rsidRPr="00341818" w:rsidP="0034537C" w14:paraId="7DF9A8AE" w14:textId="77777777">
            <w:pPr>
              <w:keepNext/>
              <w:keepLines/>
              <w:spacing w:after="120"/>
              <w:jc w:val="right"/>
              <w:rPr>
                <w:rFonts w:cs="Times New Roman"/>
                <w:color w:val="000000"/>
                <w:kern w:val="0"/>
              </w:rPr>
            </w:pPr>
            <w:r w:rsidRPr="005B7CDC">
              <w:rPr>
                <w:rFonts w:cs="Times New Roman"/>
                <w:color w:val="000000"/>
                <w:kern w:val="0"/>
              </w:rPr>
              <w:t>Television Broadcasters</w:t>
            </w:r>
          </w:p>
        </w:tc>
        <w:tc>
          <w:tcPr>
            <w:tcW w:w="1823" w:type="dxa"/>
            <w:tcBorders>
              <w:top w:val="nil"/>
              <w:left w:val="single" w:sz="4" w:space="0" w:color="auto"/>
              <w:bottom w:val="single" w:sz="4" w:space="0" w:color="auto"/>
              <w:right w:val="single" w:sz="4" w:space="0" w:color="auto"/>
            </w:tcBorders>
            <w:shd w:val="clear" w:color="auto" w:fill="FFFFFF" w:themeFill="background1"/>
            <w:vAlign w:val="bottom"/>
          </w:tcPr>
          <w:p w:rsidR="0034537C" w:rsidRPr="0034537C" w:rsidP="0034537C" w14:paraId="6DC90BAD" w14:textId="77777777">
            <w:pPr>
              <w:keepNext/>
              <w:keepLines/>
              <w:spacing w:after="120"/>
              <w:jc w:val="center"/>
              <w:rPr>
                <w:rFonts w:cs="Times New Roman"/>
                <w:color w:val="000000"/>
                <w:kern w:val="0"/>
              </w:rPr>
            </w:pPr>
            <w:r w:rsidRPr="0034537C">
              <w:rPr>
                <w:rFonts w:cs="Times New Roman"/>
                <w:color w:val="000000"/>
                <w:kern w:val="0"/>
              </w:rPr>
              <w:t>260</w:t>
            </w:r>
            <w:r w:rsidR="001C752A">
              <w:rPr>
                <w:rFonts w:cs="Times New Roman"/>
                <w:color w:val="000000"/>
                <w:kern w:val="0"/>
              </w:rPr>
              <w:t>6</w:t>
            </w:r>
          </w:p>
        </w:tc>
        <w:tc>
          <w:tcPr>
            <w:tcW w:w="1389" w:type="dxa"/>
            <w:tcBorders>
              <w:top w:val="nil"/>
              <w:left w:val="single" w:sz="4" w:space="0" w:color="auto"/>
              <w:bottom w:val="single" w:sz="4" w:space="0" w:color="auto"/>
              <w:right w:val="single" w:sz="4" w:space="0" w:color="auto"/>
            </w:tcBorders>
            <w:shd w:val="clear" w:color="auto" w:fill="FFFFFF" w:themeFill="background1"/>
            <w:vAlign w:val="bottom"/>
          </w:tcPr>
          <w:p w:rsidR="0034537C" w:rsidRPr="0034537C" w:rsidP="0034537C" w14:paraId="54D1DE69" w14:textId="77777777">
            <w:pPr>
              <w:keepNext/>
              <w:keepLines/>
              <w:spacing w:after="120"/>
              <w:jc w:val="center"/>
              <w:rPr>
                <w:rFonts w:cs="Times New Roman"/>
                <w:color w:val="000000"/>
                <w:kern w:val="0"/>
              </w:rPr>
            </w:pPr>
            <w:r w:rsidRPr="0034537C">
              <w:rPr>
                <w:rFonts w:cs="Times New Roman"/>
                <w:color w:val="000000"/>
                <w:kern w:val="0"/>
              </w:rPr>
              <w:t>233</w:t>
            </w:r>
            <w:r w:rsidR="001C752A">
              <w:rPr>
                <w:rFonts w:cs="Times New Roman"/>
                <w:color w:val="000000"/>
                <w:kern w:val="0"/>
              </w:rPr>
              <w:t>4</w:t>
            </w:r>
          </w:p>
        </w:tc>
        <w:tc>
          <w:tcPr>
            <w:tcW w:w="1389" w:type="dxa"/>
            <w:tcBorders>
              <w:top w:val="nil"/>
              <w:left w:val="single" w:sz="4" w:space="0" w:color="auto"/>
              <w:bottom w:val="single" w:sz="4" w:space="0" w:color="auto"/>
              <w:right w:val="single" w:sz="4" w:space="0" w:color="auto"/>
            </w:tcBorders>
            <w:shd w:val="clear" w:color="auto" w:fill="FFFFFF" w:themeFill="background1"/>
            <w:vAlign w:val="bottom"/>
          </w:tcPr>
          <w:p w:rsidR="0034537C" w:rsidRPr="0034537C" w:rsidP="0034537C" w14:paraId="124E5803" w14:textId="77777777">
            <w:pPr>
              <w:keepNext/>
              <w:keepLines/>
              <w:spacing w:after="120"/>
              <w:jc w:val="center"/>
              <w:rPr>
                <w:rFonts w:cs="Times New Roman"/>
                <w:color w:val="000000"/>
                <w:kern w:val="0"/>
              </w:rPr>
            </w:pPr>
            <w:r w:rsidRPr="0034537C">
              <w:rPr>
                <w:rFonts w:cs="Times New Roman"/>
                <w:color w:val="000000"/>
                <w:kern w:val="0"/>
              </w:rPr>
              <w:t>89.5%</w:t>
            </w:r>
          </w:p>
        </w:tc>
        <w:tc>
          <w:tcPr>
            <w:tcW w:w="1389" w:type="dxa"/>
            <w:tcBorders>
              <w:top w:val="nil"/>
              <w:left w:val="single" w:sz="4" w:space="0" w:color="auto"/>
              <w:bottom w:val="single" w:sz="4" w:space="0" w:color="auto"/>
              <w:right w:val="single" w:sz="4" w:space="0" w:color="auto"/>
            </w:tcBorders>
            <w:shd w:val="clear" w:color="auto" w:fill="FFFFFF" w:themeFill="background1"/>
            <w:vAlign w:val="bottom"/>
          </w:tcPr>
          <w:p w:rsidR="0034537C" w:rsidRPr="0034537C" w:rsidP="0034537C" w14:paraId="629313D9" w14:textId="77777777">
            <w:pPr>
              <w:keepNext/>
              <w:keepLines/>
              <w:spacing w:after="120"/>
              <w:jc w:val="center"/>
              <w:rPr>
                <w:rFonts w:cs="Times New Roman"/>
                <w:color w:val="000000"/>
                <w:kern w:val="0"/>
              </w:rPr>
            </w:pPr>
            <w:r w:rsidRPr="0034537C">
              <w:rPr>
                <w:rFonts w:cs="Times New Roman"/>
                <w:color w:val="000000"/>
                <w:kern w:val="0"/>
              </w:rPr>
              <w:t>2202</w:t>
            </w:r>
          </w:p>
        </w:tc>
        <w:tc>
          <w:tcPr>
            <w:tcW w:w="1390" w:type="dxa"/>
            <w:tcBorders>
              <w:top w:val="nil"/>
              <w:left w:val="single" w:sz="4" w:space="0" w:color="auto"/>
              <w:bottom w:val="single" w:sz="4" w:space="0" w:color="auto"/>
              <w:right w:val="single" w:sz="4" w:space="0" w:color="auto"/>
            </w:tcBorders>
            <w:shd w:val="clear" w:color="auto" w:fill="FFFFFF" w:themeFill="background1"/>
            <w:vAlign w:val="bottom"/>
          </w:tcPr>
          <w:p w:rsidR="0034537C" w:rsidRPr="0034537C" w:rsidP="0034537C" w14:paraId="3F6D64D7" w14:textId="77777777">
            <w:pPr>
              <w:keepNext/>
              <w:keepLines/>
              <w:spacing w:after="120"/>
              <w:jc w:val="center"/>
              <w:rPr>
                <w:rFonts w:cs="Times New Roman"/>
                <w:color w:val="000000"/>
                <w:kern w:val="0"/>
              </w:rPr>
            </w:pPr>
            <w:r w:rsidRPr="0034537C">
              <w:rPr>
                <w:rFonts w:cs="Times New Roman"/>
                <w:color w:val="000000"/>
                <w:kern w:val="0"/>
              </w:rPr>
              <w:t>84.5%</w:t>
            </w:r>
          </w:p>
        </w:tc>
      </w:tr>
      <w:tr w14:paraId="284E387F" w14:textId="77777777" w:rsidTr="00085542">
        <w:tblPrEx>
          <w:tblW w:w="9262" w:type="dxa"/>
          <w:tblInd w:w="93" w:type="dxa"/>
          <w:tblLayout w:type="fixed"/>
          <w:tblLook w:val="0000"/>
        </w:tblPrEx>
        <w:trPr>
          <w:trHeight w:val="253"/>
        </w:trPr>
        <w:tc>
          <w:tcPr>
            <w:tcW w:w="1882" w:type="dxa"/>
            <w:tcBorders>
              <w:left w:val="single" w:sz="4" w:space="0" w:color="auto"/>
              <w:bottom w:val="single" w:sz="4" w:space="0" w:color="auto"/>
              <w:right w:val="single" w:sz="4" w:space="0" w:color="auto"/>
            </w:tcBorders>
            <w:vAlign w:val="bottom"/>
          </w:tcPr>
          <w:p w:rsidR="0034537C" w:rsidRPr="005B7CDC" w:rsidP="0034537C" w14:paraId="58D04F6F" w14:textId="77777777">
            <w:pPr>
              <w:keepNext/>
              <w:keepLines/>
              <w:spacing w:after="120"/>
              <w:jc w:val="right"/>
              <w:rPr>
                <w:rFonts w:cs="Times New Roman"/>
                <w:color w:val="000000"/>
                <w:kern w:val="0"/>
              </w:rPr>
            </w:pPr>
            <w:r w:rsidRPr="005B7CDC">
              <w:rPr>
                <w:rFonts w:cs="Times New Roman"/>
                <w:color w:val="000000"/>
                <w:kern w:val="0"/>
              </w:rPr>
              <w:t>Cable Systems</w:t>
            </w:r>
          </w:p>
        </w:tc>
        <w:tc>
          <w:tcPr>
            <w:tcW w:w="1823" w:type="dxa"/>
            <w:tcBorders>
              <w:left w:val="single" w:sz="4" w:space="0" w:color="auto"/>
              <w:bottom w:val="single" w:sz="4" w:space="0" w:color="auto"/>
              <w:right w:val="single" w:sz="4" w:space="0" w:color="auto"/>
            </w:tcBorders>
            <w:vAlign w:val="bottom"/>
          </w:tcPr>
          <w:p w:rsidR="0034537C" w:rsidRPr="0034537C" w:rsidP="0034537C" w14:paraId="4A844C4F" w14:textId="77777777">
            <w:pPr>
              <w:keepNext/>
              <w:keepLines/>
              <w:spacing w:after="120"/>
              <w:jc w:val="center"/>
              <w:rPr>
                <w:rFonts w:cs="Times New Roman"/>
                <w:color w:val="000000"/>
                <w:kern w:val="0"/>
              </w:rPr>
            </w:pPr>
            <w:r w:rsidRPr="0034537C">
              <w:rPr>
                <w:rFonts w:cs="Times New Roman"/>
              </w:rPr>
              <w:t>2792</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50705D9F" w14:textId="77777777">
            <w:pPr>
              <w:keepNext/>
              <w:keepLines/>
              <w:spacing w:after="120"/>
              <w:jc w:val="center"/>
              <w:rPr>
                <w:rFonts w:cs="Times New Roman"/>
                <w:color w:val="000000"/>
                <w:kern w:val="0"/>
              </w:rPr>
            </w:pPr>
            <w:r w:rsidRPr="0034537C">
              <w:rPr>
                <w:rFonts w:cs="Times New Roman"/>
                <w:color w:val="000000"/>
                <w:kern w:val="0"/>
              </w:rPr>
              <w:t>2731</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01C47E53" w14:textId="77777777">
            <w:pPr>
              <w:keepNext/>
              <w:keepLines/>
              <w:spacing w:after="120"/>
              <w:jc w:val="center"/>
              <w:rPr>
                <w:rFonts w:cs="Times New Roman"/>
                <w:color w:val="000000"/>
                <w:kern w:val="0"/>
              </w:rPr>
            </w:pPr>
            <w:r w:rsidRPr="0034537C">
              <w:rPr>
                <w:rFonts w:cs="Times New Roman"/>
                <w:color w:val="000000"/>
                <w:kern w:val="0"/>
              </w:rPr>
              <w:t>97.8%</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6A2ED64B" w14:textId="77777777">
            <w:pPr>
              <w:keepNext/>
              <w:keepLines/>
              <w:spacing w:after="120"/>
              <w:jc w:val="center"/>
              <w:rPr>
                <w:rFonts w:cs="Times New Roman"/>
                <w:color w:val="000000"/>
                <w:kern w:val="0"/>
              </w:rPr>
            </w:pPr>
            <w:r w:rsidRPr="0034537C">
              <w:rPr>
                <w:rFonts w:cs="Times New Roman"/>
                <w:color w:val="000000"/>
                <w:kern w:val="0"/>
              </w:rPr>
              <w:t>2545</w:t>
            </w:r>
          </w:p>
        </w:tc>
        <w:tc>
          <w:tcPr>
            <w:tcW w:w="1390" w:type="dxa"/>
            <w:tcBorders>
              <w:top w:val="nil"/>
              <w:left w:val="single" w:sz="4" w:space="0" w:color="auto"/>
              <w:bottom w:val="single" w:sz="4" w:space="0" w:color="auto"/>
              <w:right w:val="single" w:sz="4" w:space="0" w:color="auto"/>
            </w:tcBorders>
            <w:vAlign w:val="bottom"/>
          </w:tcPr>
          <w:p w:rsidR="0034537C" w:rsidRPr="0034537C" w:rsidP="0034537C" w14:paraId="21DFF888" w14:textId="77777777">
            <w:pPr>
              <w:keepNext/>
              <w:keepLines/>
              <w:spacing w:after="120"/>
              <w:jc w:val="center"/>
              <w:rPr>
                <w:rFonts w:cs="Times New Roman"/>
                <w:color w:val="000000"/>
                <w:kern w:val="0"/>
              </w:rPr>
            </w:pPr>
            <w:r w:rsidRPr="0034537C">
              <w:rPr>
                <w:rFonts w:cs="Times New Roman"/>
                <w:color w:val="000000"/>
                <w:kern w:val="0"/>
              </w:rPr>
              <w:t>91.2%</w:t>
            </w:r>
          </w:p>
        </w:tc>
      </w:tr>
      <w:tr w14:paraId="72E572FD" w14:textId="77777777" w:rsidTr="00085542">
        <w:tblPrEx>
          <w:tblW w:w="9262" w:type="dxa"/>
          <w:tblInd w:w="93" w:type="dxa"/>
          <w:tblLayout w:type="fixed"/>
          <w:tblLook w:val="0000"/>
        </w:tblPrEx>
        <w:trPr>
          <w:trHeight w:val="253"/>
        </w:trPr>
        <w:tc>
          <w:tcPr>
            <w:tcW w:w="1882" w:type="dxa"/>
            <w:tcBorders>
              <w:left w:val="single" w:sz="4" w:space="0" w:color="auto"/>
              <w:bottom w:val="single" w:sz="4" w:space="0" w:color="auto"/>
              <w:right w:val="single" w:sz="4" w:space="0" w:color="auto"/>
            </w:tcBorders>
            <w:vAlign w:val="bottom"/>
          </w:tcPr>
          <w:p w:rsidR="0034537C" w:rsidRPr="005B7CDC" w:rsidP="0034537C" w14:paraId="75E4D138" w14:textId="77777777">
            <w:pPr>
              <w:keepNext/>
              <w:keepLines/>
              <w:spacing w:after="120"/>
              <w:jc w:val="right"/>
              <w:rPr>
                <w:rFonts w:cs="Times New Roman"/>
                <w:color w:val="000000"/>
                <w:kern w:val="0"/>
              </w:rPr>
            </w:pPr>
            <w:r w:rsidRPr="005B7CDC">
              <w:rPr>
                <w:rFonts w:cs="Times New Roman"/>
                <w:color w:val="000000"/>
                <w:kern w:val="0"/>
              </w:rPr>
              <w:t>IPTV Providers</w:t>
            </w:r>
          </w:p>
        </w:tc>
        <w:tc>
          <w:tcPr>
            <w:tcW w:w="1823" w:type="dxa"/>
            <w:tcBorders>
              <w:left w:val="single" w:sz="4" w:space="0" w:color="auto"/>
              <w:bottom w:val="single" w:sz="4" w:space="0" w:color="auto"/>
              <w:right w:val="single" w:sz="4" w:space="0" w:color="auto"/>
            </w:tcBorders>
            <w:vAlign w:val="bottom"/>
          </w:tcPr>
          <w:p w:rsidR="0034537C" w:rsidRPr="0034537C" w:rsidP="0034537C" w14:paraId="663B3CB7" w14:textId="77777777">
            <w:pPr>
              <w:keepNext/>
              <w:keepLines/>
              <w:spacing w:after="120"/>
              <w:jc w:val="center"/>
              <w:rPr>
                <w:rFonts w:cs="Times New Roman"/>
              </w:rPr>
            </w:pPr>
            <w:r w:rsidRPr="0034537C">
              <w:rPr>
                <w:rFonts w:cs="Times New Roman"/>
              </w:rPr>
              <w:t>243</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09951D90" w14:textId="77777777">
            <w:pPr>
              <w:keepNext/>
              <w:keepLines/>
              <w:spacing w:after="120"/>
              <w:jc w:val="center"/>
              <w:rPr>
                <w:rFonts w:cs="Times New Roman"/>
                <w:color w:val="000000"/>
                <w:kern w:val="0"/>
              </w:rPr>
            </w:pPr>
            <w:r w:rsidRPr="0034537C">
              <w:rPr>
                <w:rFonts w:cs="Times New Roman"/>
                <w:color w:val="000000"/>
                <w:kern w:val="0"/>
              </w:rPr>
              <w:t>237</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389BD210" w14:textId="77777777">
            <w:pPr>
              <w:keepNext/>
              <w:keepLines/>
              <w:spacing w:after="120"/>
              <w:jc w:val="center"/>
              <w:rPr>
                <w:rFonts w:cs="Times New Roman"/>
                <w:color w:val="000000"/>
                <w:kern w:val="0"/>
              </w:rPr>
            </w:pPr>
            <w:r w:rsidRPr="0034537C">
              <w:rPr>
                <w:rFonts w:cs="Times New Roman"/>
                <w:color w:val="000000"/>
                <w:kern w:val="0"/>
              </w:rPr>
              <w:t>97.5%</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4CD684DB" w14:textId="77777777">
            <w:pPr>
              <w:keepNext/>
              <w:keepLines/>
              <w:spacing w:after="120"/>
              <w:jc w:val="center"/>
              <w:rPr>
                <w:rFonts w:cs="Times New Roman"/>
                <w:color w:val="000000"/>
                <w:kern w:val="0"/>
              </w:rPr>
            </w:pPr>
            <w:r w:rsidRPr="0034537C">
              <w:rPr>
                <w:rFonts w:cs="Times New Roman"/>
                <w:color w:val="000000"/>
                <w:kern w:val="0"/>
              </w:rPr>
              <w:t>223</w:t>
            </w:r>
          </w:p>
        </w:tc>
        <w:tc>
          <w:tcPr>
            <w:tcW w:w="1390" w:type="dxa"/>
            <w:tcBorders>
              <w:top w:val="nil"/>
              <w:left w:val="single" w:sz="4" w:space="0" w:color="auto"/>
              <w:bottom w:val="single" w:sz="4" w:space="0" w:color="auto"/>
              <w:right w:val="single" w:sz="4" w:space="0" w:color="auto"/>
            </w:tcBorders>
            <w:vAlign w:val="bottom"/>
          </w:tcPr>
          <w:p w:rsidR="0034537C" w:rsidRPr="0034537C" w:rsidP="0034537C" w14:paraId="5CB3A59E" w14:textId="77777777">
            <w:pPr>
              <w:keepNext/>
              <w:keepLines/>
              <w:spacing w:after="120"/>
              <w:jc w:val="center"/>
              <w:rPr>
                <w:rFonts w:cs="Times New Roman"/>
                <w:color w:val="000000"/>
                <w:kern w:val="0"/>
              </w:rPr>
            </w:pPr>
            <w:r w:rsidRPr="0034537C">
              <w:rPr>
                <w:rFonts w:cs="Times New Roman"/>
                <w:color w:val="000000"/>
                <w:kern w:val="0"/>
              </w:rPr>
              <w:t>91.8%</w:t>
            </w:r>
          </w:p>
        </w:tc>
      </w:tr>
      <w:tr w14:paraId="741494CA" w14:textId="77777777" w:rsidTr="00085542">
        <w:tblPrEx>
          <w:tblW w:w="9262" w:type="dxa"/>
          <w:tblInd w:w="93" w:type="dxa"/>
          <w:tblLayout w:type="fixed"/>
          <w:tblLook w:val="0000"/>
        </w:tblPrEx>
        <w:trPr>
          <w:trHeight w:val="253"/>
        </w:trPr>
        <w:tc>
          <w:tcPr>
            <w:tcW w:w="1882" w:type="dxa"/>
            <w:tcBorders>
              <w:top w:val="nil"/>
              <w:left w:val="single" w:sz="4" w:space="0" w:color="auto"/>
              <w:bottom w:val="single" w:sz="4" w:space="0" w:color="auto"/>
              <w:right w:val="single" w:sz="4" w:space="0" w:color="auto"/>
            </w:tcBorders>
            <w:vAlign w:val="bottom"/>
          </w:tcPr>
          <w:p w:rsidR="0034537C" w:rsidRPr="00341818" w:rsidP="0034537C" w14:paraId="677956E2" w14:textId="77777777">
            <w:pPr>
              <w:keepNext/>
              <w:keepLines/>
              <w:spacing w:after="120"/>
              <w:jc w:val="right"/>
              <w:rPr>
                <w:rFonts w:cs="Times New Roman"/>
                <w:color w:val="000000"/>
                <w:kern w:val="0"/>
              </w:rPr>
            </w:pPr>
            <w:r w:rsidRPr="005B7CDC">
              <w:rPr>
                <w:rFonts w:cs="Times New Roman"/>
                <w:color w:val="000000"/>
                <w:kern w:val="0"/>
              </w:rPr>
              <w:t>Wireline Video System</w:t>
            </w:r>
            <w:r w:rsidR="002E5326">
              <w:rPr>
                <w:rFonts w:cs="Times New Roman"/>
                <w:color w:val="000000"/>
                <w:kern w:val="0"/>
              </w:rPr>
              <w:t>s</w:t>
            </w:r>
          </w:p>
        </w:tc>
        <w:tc>
          <w:tcPr>
            <w:tcW w:w="1823" w:type="dxa"/>
            <w:tcBorders>
              <w:top w:val="nil"/>
              <w:left w:val="single" w:sz="4" w:space="0" w:color="auto"/>
              <w:bottom w:val="single" w:sz="4" w:space="0" w:color="auto"/>
              <w:right w:val="single" w:sz="4" w:space="0" w:color="auto"/>
            </w:tcBorders>
            <w:vAlign w:val="bottom"/>
          </w:tcPr>
          <w:p w:rsidR="0034537C" w:rsidRPr="0034537C" w:rsidP="0034537C" w14:paraId="3507096C" w14:textId="77777777">
            <w:pPr>
              <w:keepNext/>
              <w:keepLines/>
              <w:spacing w:after="120"/>
              <w:jc w:val="center"/>
              <w:rPr>
                <w:rFonts w:cs="Times New Roman"/>
                <w:color w:val="000000"/>
                <w:kern w:val="0"/>
              </w:rPr>
            </w:pPr>
            <w:r w:rsidRPr="0034537C">
              <w:rPr>
                <w:rFonts w:cs="Times New Roman"/>
              </w:rPr>
              <w:t>63</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6A014E98" w14:textId="77777777">
            <w:pPr>
              <w:keepNext/>
              <w:keepLines/>
              <w:spacing w:after="120"/>
              <w:jc w:val="center"/>
              <w:rPr>
                <w:rFonts w:cs="Times New Roman"/>
                <w:color w:val="000000"/>
                <w:kern w:val="0"/>
              </w:rPr>
            </w:pPr>
            <w:r w:rsidRPr="0034537C">
              <w:rPr>
                <w:rFonts w:cs="Times New Roman"/>
                <w:color w:val="000000"/>
                <w:kern w:val="0"/>
              </w:rPr>
              <w:t>63</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4F311FAB" w14:textId="77777777">
            <w:pPr>
              <w:keepNext/>
              <w:keepLines/>
              <w:spacing w:after="120"/>
              <w:jc w:val="center"/>
              <w:rPr>
                <w:rFonts w:cs="Times New Roman"/>
                <w:color w:val="000000"/>
                <w:kern w:val="0"/>
              </w:rPr>
            </w:pPr>
            <w:r w:rsidRPr="0034537C">
              <w:rPr>
                <w:rFonts w:cs="Times New Roman"/>
                <w:color w:val="000000"/>
                <w:kern w:val="0"/>
              </w:rPr>
              <w:t>100%</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2A98C607" w14:textId="77777777">
            <w:pPr>
              <w:keepNext/>
              <w:keepLines/>
              <w:spacing w:after="120"/>
              <w:jc w:val="center"/>
              <w:rPr>
                <w:rFonts w:cs="Times New Roman"/>
                <w:color w:val="000000"/>
                <w:kern w:val="0"/>
              </w:rPr>
            </w:pPr>
            <w:r w:rsidRPr="0034537C">
              <w:rPr>
                <w:rFonts w:cs="Times New Roman"/>
                <w:color w:val="000000"/>
                <w:kern w:val="0"/>
              </w:rPr>
              <w:t>57</w:t>
            </w:r>
          </w:p>
        </w:tc>
        <w:tc>
          <w:tcPr>
            <w:tcW w:w="1390" w:type="dxa"/>
            <w:tcBorders>
              <w:top w:val="nil"/>
              <w:left w:val="single" w:sz="4" w:space="0" w:color="auto"/>
              <w:bottom w:val="single" w:sz="4" w:space="0" w:color="auto"/>
              <w:right w:val="single" w:sz="4" w:space="0" w:color="auto"/>
            </w:tcBorders>
            <w:vAlign w:val="bottom"/>
          </w:tcPr>
          <w:p w:rsidR="0034537C" w:rsidRPr="0034537C" w:rsidP="0034537C" w14:paraId="41F1CB64" w14:textId="77777777">
            <w:pPr>
              <w:keepNext/>
              <w:keepLines/>
              <w:spacing w:after="120"/>
              <w:jc w:val="center"/>
              <w:rPr>
                <w:rFonts w:cs="Times New Roman"/>
                <w:color w:val="000000"/>
                <w:kern w:val="0"/>
              </w:rPr>
            </w:pPr>
            <w:r w:rsidRPr="0034537C">
              <w:rPr>
                <w:rFonts w:cs="Times New Roman"/>
                <w:color w:val="000000"/>
                <w:kern w:val="0"/>
              </w:rPr>
              <w:t>90.5%</w:t>
            </w:r>
          </w:p>
        </w:tc>
      </w:tr>
      <w:tr w14:paraId="6E566407" w14:textId="77777777" w:rsidTr="00085542">
        <w:tblPrEx>
          <w:tblW w:w="9262" w:type="dxa"/>
          <w:tblInd w:w="93" w:type="dxa"/>
          <w:tblLayout w:type="fixed"/>
          <w:tblLook w:val="0000"/>
        </w:tblPrEx>
        <w:trPr>
          <w:trHeight w:val="253"/>
        </w:trPr>
        <w:tc>
          <w:tcPr>
            <w:tcW w:w="1882" w:type="dxa"/>
            <w:tcBorders>
              <w:top w:val="nil"/>
              <w:left w:val="single" w:sz="4" w:space="0" w:color="auto"/>
              <w:bottom w:val="single" w:sz="4" w:space="0" w:color="auto"/>
              <w:right w:val="single" w:sz="4" w:space="0" w:color="auto"/>
            </w:tcBorders>
            <w:vAlign w:val="bottom"/>
          </w:tcPr>
          <w:p w:rsidR="0034537C" w:rsidRPr="005B7CDC" w:rsidP="0034537C" w14:paraId="06745E18" w14:textId="77777777">
            <w:pPr>
              <w:keepNext/>
              <w:keepLines/>
              <w:spacing w:after="120"/>
              <w:jc w:val="right"/>
              <w:rPr>
                <w:rFonts w:cs="Times New Roman"/>
                <w:color w:val="000000"/>
                <w:kern w:val="0"/>
              </w:rPr>
            </w:pPr>
            <w:r w:rsidRPr="005B7CDC">
              <w:rPr>
                <w:rFonts w:cs="Times New Roman"/>
                <w:color w:val="000000"/>
                <w:kern w:val="0"/>
              </w:rPr>
              <w:t>Other</w:t>
            </w:r>
          </w:p>
        </w:tc>
        <w:tc>
          <w:tcPr>
            <w:tcW w:w="1823" w:type="dxa"/>
            <w:tcBorders>
              <w:top w:val="nil"/>
              <w:left w:val="single" w:sz="4" w:space="0" w:color="auto"/>
              <w:bottom w:val="single" w:sz="4" w:space="0" w:color="auto"/>
              <w:right w:val="single" w:sz="4" w:space="0" w:color="auto"/>
            </w:tcBorders>
            <w:vAlign w:val="bottom"/>
          </w:tcPr>
          <w:p w:rsidR="0034537C" w:rsidRPr="0034537C" w:rsidP="0034537C" w14:paraId="394A8574" w14:textId="77777777">
            <w:pPr>
              <w:keepNext/>
              <w:keepLines/>
              <w:spacing w:after="120"/>
              <w:jc w:val="center"/>
              <w:rPr>
                <w:rFonts w:cs="Times New Roman"/>
                <w:color w:val="000000"/>
                <w:kern w:val="0"/>
              </w:rPr>
            </w:pPr>
            <w:r w:rsidRPr="0034537C">
              <w:rPr>
                <w:rFonts w:cs="Times New Roman"/>
                <w:color w:val="000000"/>
                <w:kern w:val="0"/>
              </w:rPr>
              <w:t>16</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7AEE7899" w14:textId="77777777">
            <w:pPr>
              <w:keepNext/>
              <w:keepLines/>
              <w:spacing w:after="120"/>
              <w:jc w:val="center"/>
              <w:rPr>
                <w:rFonts w:cs="Times New Roman"/>
                <w:color w:val="000000"/>
                <w:kern w:val="0"/>
              </w:rPr>
            </w:pPr>
            <w:r w:rsidRPr="0034537C">
              <w:rPr>
                <w:rFonts w:cs="Times New Roman"/>
                <w:color w:val="000000"/>
                <w:kern w:val="0"/>
              </w:rPr>
              <w:t>16</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29956E09" w14:textId="77777777">
            <w:pPr>
              <w:keepNext/>
              <w:keepLines/>
              <w:spacing w:after="120"/>
              <w:jc w:val="center"/>
              <w:rPr>
                <w:rFonts w:cs="Times New Roman"/>
                <w:color w:val="000000"/>
                <w:kern w:val="0"/>
              </w:rPr>
            </w:pPr>
            <w:r w:rsidRPr="0034537C">
              <w:rPr>
                <w:rFonts w:cs="Times New Roman"/>
                <w:color w:val="000000"/>
                <w:kern w:val="0"/>
              </w:rPr>
              <w:t>100%</w:t>
            </w:r>
          </w:p>
        </w:tc>
        <w:tc>
          <w:tcPr>
            <w:tcW w:w="1389" w:type="dxa"/>
            <w:tcBorders>
              <w:top w:val="nil"/>
              <w:left w:val="single" w:sz="4" w:space="0" w:color="auto"/>
              <w:bottom w:val="single" w:sz="4" w:space="0" w:color="auto"/>
              <w:right w:val="single" w:sz="4" w:space="0" w:color="auto"/>
            </w:tcBorders>
            <w:vAlign w:val="bottom"/>
          </w:tcPr>
          <w:p w:rsidR="0034537C" w:rsidRPr="0034537C" w:rsidP="0034537C" w14:paraId="64AB0AD6" w14:textId="77777777">
            <w:pPr>
              <w:keepNext/>
              <w:keepLines/>
              <w:spacing w:after="120"/>
              <w:jc w:val="center"/>
              <w:rPr>
                <w:rFonts w:cs="Times New Roman"/>
                <w:color w:val="000000"/>
                <w:kern w:val="0"/>
              </w:rPr>
            </w:pPr>
            <w:r w:rsidRPr="0034537C">
              <w:rPr>
                <w:rFonts w:cs="Times New Roman"/>
                <w:color w:val="000000"/>
                <w:kern w:val="0"/>
              </w:rPr>
              <w:t>15</w:t>
            </w:r>
          </w:p>
        </w:tc>
        <w:tc>
          <w:tcPr>
            <w:tcW w:w="1390" w:type="dxa"/>
            <w:tcBorders>
              <w:top w:val="nil"/>
              <w:left w:val="single" w:sz="4" w:space="0" w:color="auto"/>
              <w:bottom w:val="single" w:sz="4" w:space="0" w:color="auto"/>
              <w:right w:val="single" w:sz="4" w:space="0" w:color="auto"/>
            </w:tcBorders>
            <w:vAlign w:val="bottom"/>
          </w:tcPr>
          <w:p w:rsidR="0034537C" w:rsidRPr="0034537C" w:rsidP="0034537C" w14:paraId="10CB9D18" w14:textId="77777777">
            <w:pPr>
              <w:keepNext/>
              <w:keepLines/>
              <w:spacing w:after="120"/>
              <w:jc w:val="center"/>
              <w:rPr>
                <w:rFonts w:cs="Times New Roman"/>
                <w:color w:val="000000"/>
                <w:kern w:val="0"/>
              </w:rPr>
            </w:pPr>
            <w:r w:rsidRPr="0034537C">
              <w:rPr>
                <w:rFonts w:cs="Times New Roman"/>
                <w:color w:val="000000"/>
                <w:kern w:val="0"/>
              </w:rPr>
              <w:t>93.8%</w:t>
            </w:r>
          </w:p>
        </w:tc>
      </w:tr>
      <w:tr w14:paraId="6652D43D" w14:textId="77777777" w:rsidTr="00085542">
        <w:tblPrEx>
          <w:tblW w:w="9262" w:type="dxa"/>
          <w:tblInd w:w="93" w:type="dxa"/>
          <w:tblLayout w:type="fixed"/>
          <w:tblLook w:val="0000"/>
        </w:tblPrEx>
        <w:trPr>
          <w:trHeight w:val="253"/>
        </w:trPr>
        <w:tc>
          <w:tcPr>
            <w:tcW w:w="1882" w:type="dxa"/>
            <w:tcBorders>
              <w:top w:val="nil"/>
              <w:left w:val="single" w:sz="4" w:space="0" w:color="auto"/>
              <w:bottom w:val="single" w:sz="4" w:space="0" w:color="auto"/>
              <w:right w:val="single" w:sz="4" w:space="0" w:color="auto"/>
            </w:tcBorders>
            <w:shd w:val="clear" w:color="auto" w:fill="C0C0C0"/>
            <w:vAlign w:val="bottom"/>
          </w:tcPr>
          <w:p w:rsidR="0034537C" w:rsidRPr="00085542" w:rsidP="0034537C" w14:paraId="0348573C" w14:textId="77777777">
            <w:pPr>
              <w:spacing w:after="120"/>
              <w:jc w:val="right"/>
              <w:rPr>
                <w:rFonts w:cs="Times New Roman"/>
                <w:b/>
                <w:i/>
                <w:iCs/>
                <w:color w:val="000000"/>
                <w:kern w:val="0"/>
              </w:rPr>
            </w:pPr>
            <w:r w:rsidRPr="000E1D0E">
              <w:rPr>
                <w:rFonts w:cs="Times New Roman"/>
                <w:b/>
                <w:i/>
                <w:iCs/>
                <w:color w:val="000000"/>
                <w:kern w:val="0"/>
              </w:rPr>
              <w:t>All Total</w:t>
            </w:r>
          </w:p>
        </w:tc>
        <w:tc>
          <w:tcPr>
            <w:tcW w:w="1823" w:type="dxa"/>
            <w:tcBorders>
              <w:top w:val="nil"/>
              <w:left w:val="single" w:sz="4" w:space="0" w:color="auto"/>
              <w:bottom w:val="single" w:sz="4" w:space="0" w:color="auto"/>
              <w:right w:val="single" w:sz="4" w:space="0" w:color="auto"/>
            </w:tcBorders>
            <w:shd w:val="clear" w:color="auto" w:fill="C0C0C0"/>
            <w:vAlign w:val="bottom"/>
          </w:tcPr>
          <w:p w:rsidR="0034537C" w:rsidRPr="0034537C" w:rsidP="0034537C" w14:paraId="0947417D" w14:textId="5F12C211">
            <w:pPr>
              <w:spacing w:after="120"/>
              <w:jc w:val="center"/>
              <w:rPr>
                <w:rFonts w:cs="Times New Roman"/>
                <w:b/>
                <w:color w:val="000000"/>
                <w:kern w:val="0"/>
              </w:rPr>
            </w:pPr>
            <w:r w:rsidRPr="0034537C">
              <w:rPr>
                <w:rFonts w:cs="Times New Roman"/>
                <w:b/>
              </w:rPr>
              <w:t>191</w:t>
            </w:r>
            <w:r w:rsidR="004B5B36">
              <w:rPr>
                <w:rFonts w:cs="Times New Roman"/>
                <w:b/>
              </w:rPr>
              <w:t>55</w:t>
            </w:r>
          </w:p>
        </w:tc>
        <w:tc>
          <w:tcPr>
            <w:tcW w:w="1389" w:type="dxa"/>
            <w:tcBorders>
              <w:top w:val="nil"/>
              <w:left w:val="single" w:sz="4" w:space="0" w:color="auto"/>
              <w:bottom w:val="single" w:sz="4" w:space="0" w:color="auto"/>
              <w:right w:val="single" w:sz="4" w:space="0" w:color="auto"/>
            </w:tcBorders>
            <w:shd w:val="clear" w:color="auto" w:fill="C0C0C0"/>
            <w:vAlign w:val="bottom"/>
          </w:tcPr>
          <w:p w:rsidR="0034537C" w:rsidRPr="0034537C" w:rsidP="0034537C" w14:paraId="0DA7FDBB" w14:textId="0C0AE22C">
            <w:pPr>
              <w:spacing w:after="120"/>
              <w:jc w:val="center"/>
              <w:rPr>
                <w:rFonts w:cs="Times New Roman"/>
                <w:b/>
                <w:color w:val="000000"/>
                <w:kern w:val="0"/>
              </w:rPr>
            </w:pPr>
            <w:r w:rsidRPr="0034537C">
              <w:rPr>
                <w:rFonts w:cs="Times New Roman"/>
                <w:b/>
                <w:color w:val="000000"/>
                <w:kern w:val="0"/>
              </w:rPr>
              <w:t>183</w:t>
            </w:r>
            <w:r w:rsidR="004B5B36">
              <w:rPr>
                <w:rFonts w:cs="Times New Roman"/>
                <w:b/>
                <w:color w:val="000000"/>
                <w:kern w:val="0"/>
              </w:rPr>
              <w:t>35</w:t>
            </w:r>
          </w:p>
        </w:tc>
        <w:tc>
          <w:tcPr>
            <w:tcW w:w="1389" w:type="dxa"/>
            <w:tcBorders>
              <w:top w:val="nil"/>
              <w:left w:val="single" w:sz="4" w:space="0" w:color="auto"/>
              <w:bottom w:val="single" w:sz="4" w:space="0" w:color="auto"/>
              <w:right w:val="single" w:sz="4" w:space="0" w:color="auto"/>
            </w:tcBorders>
            <w:shd w:val="clear" w:color="auto" w:fill="C0C0C0"/>
            <w:vAlign w:val="bottom"/>
          </w:tcPr>
          <w:p w:rsidR="0034537C" w:rsidRPr="0034537C" w:rsidP="0034537C" w14:paraId="00BDA494" w14:textId="77777777">
            <w:pPr>
              <w:spacing w:after="120"/>
              <w:jc w:val="center"/>
              <w:rPr>
                <w:rFonts w:cs="Times New Roman"/>
                <w:b/>
                <w:color w:val="000000"/>
                <w:kern w:val="0"/>
              </w:rPr>
            </w:pPr>
            <w:r w:rsidRPr="0034537C">
              <w:rPr>
                <w:rFonts w:cs="Times New Roman"/>
                <w:b/>
                <w:color w:val="000000"/>
                <w:kern w:val="0"/>
              </w:rPr>
              <w:t>95.7%</w:t>
            </w:r>
          </w:p>
        </w:tc>
        <w:tc>
          <w:tcPr>
            <w:tcW w:w="1389" w:type="dxa"/>
            <w:tcBorders>
              <w:top w:val="nil"/>
              <w:left w:val="single" w:sz="4" w:space="0" w:color="auto"/>
              <w:bottom w:val="single" w:sz="4" w:space="0" w:color="auto"/>
              <w:right w:val="single" w:sz="4" w:space="0" w:color="auto"/>
            </w:tcBorders>
            <w:shd w:val="clear" w:color="auto" w:fill="C0C0C0"/>
            <w:vAlign w:val="bottom"/>
          </w:tcPr>
          <w:p w:rsidR="0034537C" w:rsidRPr="0034537C" w:rsidP="0034537C" w14:paraId="065F6818" w14:textId="69BF3081">
            <w:pPr>
              <w:spacing w:after="120"/>
              <w:jc w:val="center"/>
              <w:rPr>
                <w:rFonts w:cs="Times New Roman"/>
                <w:b/>
                <w:color w:val="000000"/>
                <w:kern w:val="0"/>
              </w:rPr>
            </w:pPr>
            <w:r w:rsidRPr="0034537C">
              <w:rPr>
                <w:rFonts w:cs="Times New Roman"/>
                <w:b/>
                <w:color w:val="000000"/>
                <w:kern w:val="0"/>
              </w:rPr>
              <w:t>1763</w:t>
            </w:r>
            <w:r w:rsidR="004B5B36">
              <w:rPr>
                <w:rFonts w:cs="Times New Roman"/>
                <w:b/>
                <w:color w:val="000000"/>
                <w:kern w:val="0"/>
              </w:rPr>
              <w:t>3</w:t>
            </w:r>
          </w:p>
        </w:tc>
        <w:tc>
          <w:tcPr>
            <w:tcW w:w="1390" w:type="dxa"/>
            <w:tcBorders>
              <w:top w:val="nil"/>
              <w:left w:val="single" w:sz="4" w:space="0" w:color="auto"/>
              <w:bottom w:val="single" w:sz="4" w:space="0" w:color="auto"/>
              <w:right w:val="single" w:sz="4" w:space="0" w:color="auto"/>
            </w:tcBorders>
            <w:shd w:val="clear" w:color="auto" w:fill="C0C0C0"/>
            <w:vAlign w:val="bottom"/>
          </w:tcPr>
          <w:p w:rsidR="0034537C" w:rsidRPr="0034537C" w:rsidP="0034537C" w14:paraId="152923E5" w14:textId="3AF6E887">
            <w:pPr>
              <w:spacing w:after="120"/>
              <w:jc w:val="center"/>
              <w:rPr>
                <w:rFonts w:cs="Times New Roman"/>
                <w:b/>
                <w:color w:val="000000"/>
                <w:kern w:val="0"/>
              </w:rPr>
            </w:pPr>
            <w:r w:rsidRPr="0034537C">
              <w:rPr>
                <w:rFonts w:cs="Times New Roman"/>
                <w:b/>
                <w:color w:val="000000"/>
                <w:kern w:val="0"/>
              </w:rPr>
              <w:t>92.</w:t>
            </w:r>
            <w:r w:rsidR="004B5B36">
              <w:rPr>
                <w:rFonts w:cs="Times New Roman"/>
                <w:b/>
                <w:color w:val="000000"/>
                <w:kern w:val="0"/>
              </w:rPr>
              <w:t>1</w:t>
            </w:r>
            <w:r w:rsidRPr="0034537C">
              <w:rPr>
                <w:rFonts w:cs="Times New Roman"/>
                <w:b/>
                <w:color w:val="000000"/>
                <w:kern w:val="0"/>
              </w:rPr>
              <w:t>%</w:t>
            </w:r>
          </w:p>
        </w:tc>
      </w:tr>
    </w:tbl>
    <w:p w:rsidR="004E3D74" w:rsidRPr="00B57342" w:rsidP="004E3D74" w14:paraId="12A50864" w14:textId="77777777">
      <w:pPr>
        <w:pStyle w:val="ParaNum"/>
        <w:numPr>
          <w:ilvl w:val="0"/>
          <w:numId w:val="0"/>
        </w:numPr>
        <w:rPr>
          <w:rFonts w:cs="Times New Roman"/>
          <w:szCs w:val="22"/>
        </w:rPr>
      </w:pPr>
    </w:p>
    <w:p w:rsidR="004B5B36" w14:paraId="65345FB5" w14:textId="77777777">
      <w:pPr>
        <w:rPr>
          <w:rFonts w:cs="Times New Roman"/>
          <w:b/>
        </w:rPr>
      </w:pPr>
      <w:r>
        <w:rPr>
          <w:rFonts w:cs="Times New Roman"/>
          <w:b/>
        </w:rPr>
        <w:br w:type="page"/>
      </w:r>
    </w:p>
    <w:p w:rsidR="004E3D74" w:rsidRPr="005B7CDC" w:rsidP="009155CF" w14:paraId="603F98A0" w14:textId="68F4C3FC">
      <w:pPr>
        <w:pStyle w:val="ParaNum"/>
        <w:numPr>
          <w:ilvl w:val="0"/>
          <w:numId w:val="0"/>
        </w:numPr>
        <w:spacing w:before="120" w:after="100" w:afterAutospacing="1"/>
        <w:rPr>
          <w:rFonts w:cs="Times New Roman"/>
        </w:rPr>
      </w:pPr>
      <w:r w:rsidRPr="009155CF">
        <w:rPr>
          <w:rFonts w:cs="Times New Roman"/>
          <w:b/>
        </w:rPr>
        <w:t xml:space="preserve">Table </w:t>
      </w:r>
      <w:r w:rsidR="004B5B36">
        <w:rPr>
          <w:rFonts w:cs="Times New Roman"/>
          <w:b/>
        </w:rPr>
        <w:t>7</w:t>
      </w:r>
      <w:r w:rsidRPr="005B7CDC">
        <w:rPr>
          <w:rFonts w:cs="Times New Roman"/>
        </w:rPr>
        <w:t xml:space="preserve"> shows the performance of Low Power broadcasters in the 201</w:t>
      </w:r>
      <w:r w:rsidR="00200295">
        <w:rPr>
          <w:rFonts w:cs="Times New Roman"/>
        </w:rPr>
        <w:t>8</w:t>
      </w:r>
      <w:r w:rsidRPr="005B7CDC">
        <w:rPr>
          <w:rFonts w:cs="Times New Roman"/>
        </w:rPr>
        <w:t xml:space="preserve"> </w:t>
      </w:r>
      <w:r w:rsidR="007500C6">
        <w:rPr>
          <w:rFonts w:cs="Times New Roman"/>
        </w:rPr>
        <w:t>n</w:t>
      </w:r>
      <w:r w:rsidRPr="005B7CDC">
        <w:rPr>
          <w:rFonts w:cs="Times New Roman"/>
        </w:rPr>
        <w:t xml:space="preserve">ationwide EAS </w:t>
      </w:r>
      <w:r w:rsidR="007500C6">
        <w:rPr>
          <w:rFonts w:cs="Times New Roman"/>
        </w:rPr>
        <w:t>t</w:t>
      </w:r>
      <w:r w:rsidRPr="005B7CDC">
        <w:rPr>
          <w:rFonts w:cs="Times New Roman"/>
        </w:rPr>
        <w:t xml:space="preserve">est.  LPFM broadcasters had an alert receipt success rate of </w:t>
      </w:r>
      <w:r w:rsidR="00200295">
        <w:rPr>
          <w:rFonts w:cs="Times New Roman"/>
        </w:rPr>
        <w:t>90.3</w:t>
      </w:r>
      <w:r w:rsidRPr="005B7CDC">
        <w:rPr>
          <w:rFonts w:cs="Times New Roman"/>
        </w:rPr>
        <w:t xml:space="preserve">%, approximately </w:t>
      </w:r>
      <w:r w:rsidR="00200295">
        <w:rPr>
          <w:rFonts w:cs="Times New Roman"/>
        </w:rPr>
        <w:t>6</w:t>
      </w:r>
      <w:r w:rsidRPr="005B7CDC">
        <w:rPr>
          <w:rFonts w:cs="Times New Roman"/>
        </w:rPr>
        <w:t xml:space="preserve">% less than the rate of all radio broadcasters, and an alert retransmission success rate </w:t>
      </w:r>
      <w:r w:rsidRPr="00341818">
        <w:rPr>
          <w:rFonts w:cs="Times New Roman"/>
        </w:rPr>
        <w:t>of 8</w:t>
      </w:r>
      <w:r w:rsidR="00200295">
        <w:rPr>
          <w:rFonts w:cs="Times New Roman"/>
        </w:rPr>
        <w:t>2</w:t>
      </w:r>
      <w:r w:rsidRPr="00341818">
        <w:rPr>
          <w:rFonts w:cs="Times New Roman"/>
        </w:rPr>
        <w:t>%, approximately 1</w:t>
      </w:r>
      <w:r w:rsidR="00200295">
        <w:rPr>
          <w:rFonts w:cs="Times New Roman"/>
        </w:rPr>
        <w:t>2</w:t>
      </w:r>
      <w:r w:rsidRPr="00341818">
        <w:rPr>
          <w:rFonts w:cs="Times New Roman"/>
        </w:rPr>
        <w:t xml:space="preserve">% less than the rate of all radio broadcasters.  </w:t>
      </w:r>
      <w:r w:rsidR="00200295">
        <w:rPr>
          <w:rFonts w:cs="Times New Roman"/>
        </w:rPr>
        <w:t xml:space="preserve">These results are similar, though slightly </w:t>
      </w:r>
      <w:r w:rsidR="002E5326">
        <w:rPr>
          <w:rFonts w:cs="Times New Roman"/>
        </w:rPr>
        <w:t>lower</w:t>
      </w:r>
      <w:r w:rsidR="00200295">
        <w:rPr>
          <w:rFonts w:cs="Times New Roman"/>
        </w:rPr>
        <w:t xml:space="preserve">, </w:t>
      </w:r>
      <w:r w:rsidRPr="006933E2" w:rsidR="00E95B9B">
        <w:rPr>
          <w:rFonts w:cs="Times New Roman"/>
        </w:rPr>
        <w:t>as compared to 201</w:t>
      </w:r>
      <w:r w:rsidR="00200295">
        <w:rPr>
          <w:rFonts w:cs="Times New Roman"/>
        </w:rPr>
        <w:t>7</w:t>
      </w:r>
      <w:r w:rsidRPr="006933E2" w:rsidR="00E95B9B">
        <w:rPr>
          <w:rFonts w:cs="Times New Roman"/>
        </w:rPr>
        <w:t xml:space="preserve"> </w:t>
      </w:r>
      <w:r w:rsidR="007500C6">
        <w:rPr>
          <w:rFonts w:cs="Times New Roman"/>
        </w:rPr>
        <w:t>n</w:t>
      </w:r>
      <w:r w:rsidRPr="006933E2" w:rsidR="00E95B9B">
        <w:rPr>
          <w:rFonts w:cs="Times New Roman"/>
        </w:rPr>
        <w:t xml:space="preserve">ationwide EAS </w:t>
      </w:r>
      <w:r w:rsidR="007500C6">
        <w:rPr>
          <w:rFonts w:cs="Times New Roman"/>
        </w:rPr>
        <w:t>t</w:t>
      </w:r>
      <w:r w:rsidRPr="006933E2" w:rsidR="00E95B9B">
        <w:rPr>
          <w:rFonts w:cs="Times New Roman"/>
        </w:rPr>
        <w:t>est</w:t>
      </w:r>
      <w:r w:rsidR="00036791">
        <w:rPr>
          <w:rFonts w:cs="Times New Roman"/>
        </w:rPr>
        <w:t xml:space="preserve"> results</w:t>
      </w:r>
      <w:r w:rsidRPr="006933E2" w:rsidR="00E95B9B">
        <w:rPr>
          <w:rFonts w:cs="Times New Roman"/>
        </w:rPr>
        <w:t xml:space="preserve">, in which LPFM broadcasters had an alert receipt success rate of </w:t>
      </w:r>
      <w:r w:rsidR="00200295">
        <w:rPr>
          <w:rFonts w:cs="Times New Roman"/>
        </w:rPr>
        <w:t>92.5</w:t>
      </w:r>
      <w:r w:rsidRPr="006933E2" w:rsidR="00E95B9B">
        <w:rPr>
          <w:rFonts w:cs="Times New Roman"/>
        </w:rPr>
        <w:t xml:space="preserve">% and a retransmission alert success rate of </w:t>
      </w:r>
      <w:r w:rsidR="00200295">
        <w:rPr>
          <w:rFonts w:cs="Times New Roman"/>
        </w:rPr>
        <w:t>83.8</w:t>
      </w:r>
      <w:r w:rsidRPr="00860A93" w:rsidR="00E95B9B">
        <w:rPr>
          <w:rFonts w:cs="Times New Roman"/>
        </w:rPr>
        <w:t>%</w:t>
      </w:r>
      <w:r w:rsidRPr="00860A93" w:rsidR="00867F99">
        <w:rPr>
          <w:rFonts w:cs="Times New Roman"/>
        </w:rPr>
        <w:t>.</w:t>
      </w:r>
      <w:r>
        <w:rPr>
          <w:rStyle w:val="FootnoteReference"/>
        </w:rPr>
        <w:footnoteReference w:id="70"/>
      </w:r>
      <w:r w:rsidRPr="00860A93" w:rsidR="00867F99">
        <w:rPr>
          <w:rFonts w:cs="Times New Roman"/>
        </w:rPr>
        <w:t xml:space="preserve">  </w:t>
      </w:r>
      <w:r w:rsidRPr="00D6327E">
        <w:rPr>
          <w:rFonts w:cs="Times New Roman"/>
        </w:rPr>
        <w:t xml:space="preserve">LPTV broadcasters </w:t>
      </w:r>
      <w:r w:rsidR="0053765C">
        <w:rPr>
          <w:rFonts w:cs="Times New Roman"/>
        </w:rPr>
        <w:t xml:space="preserve">had lower </w:t>
      </w:r>
      <w:r w:rsidR="00B32E5C">
        <w:rPr>
          <w:rFonts w:cs="Times New Roman"/>
        </w:rPr>
        <w:t xml:space="preserve">success </w:t>
      </w:r>
      <w:r w:rsidR="0053765C">
        <w:rPr>
          <w:rFonts w:cs="Times New Roman"/>
        </w:rPr>
        <w:t>rates</w:t>
      </w:r>
      <w:r w:rsidRPr="00D6327E">
        <w:rPr>
          <w:rFonts w:cs="Times New Roman"/>
        </w:rPr>
        <w:t xml:space="preserve"> than television broadcasters generally.  7</w:t>
      </w:r>
      <w:r w:rsidR="00200295">
        <w:rPr>
          <w:rFonts w:cs="Times New Roman"/>
        </w:rPr>
        <w:t>1.5</w:t>
      </w:r>
      <w:r w:rsidRPr="00D6327E">
        <w:rPr>
          <w:rFonts w:cs="Times New Roman"/>
        </w:rPr>
        <w:t>% of LPTV broadcasters successfully received the alert,</w:t>
      </w:r>
      <w:r w:rsidRPr="009E2B59">
        <w:rPr>
          <w:rFonts w:cs="Times New Roman"/>
        </w:rPr>
        <w:t xml:space="preserve"> 1</w:t>
      </w:r>
      <w:r w:rsidR="00200295">
        <w:rPr>
          <w:rFonts w:cs="Times New Roman"/>
        </w:rPr>
        <w:t>8</w:t>
      </w:r>
      <w:r w:rsidRPr="009E2B59">
        <w:rPr>
          <w:rFonts w:cs="Times New Roman"/>
        </w:rPr>
        <w:t xml:space="preserve">% less than the rate of all television broadcasters.  </w:t>
      </w:r>
      <w:r w:rsidRPr="00B138AD" w:rsidR="000A173B">
        <w:rPr>
          <w:rFonts w:cs="Times New Roman"/>
        </w:rPr>
        <w:t xml:space="preserve">This is </w:t>
      </w:r>
      <w:r w:rsidR="00200295">
        <w:rPr>
          <w:rFonts w:cs="Times New Roman"/>
        </w:rPr>
        <w:t>a slight decrease compared to 2017, when 76.6% of LPTV broadcasters reported successfully receiving the alert</w:t>
      </w:r>
      <w:r w:rsidRPr="00B358C0">
        <w:rPr>
          <w:rFonts w:cs="Times New Roman"/>
        </w:rPr>
        <w:t>.</w:t>
      </w:r>
      <w:r>
        <w:rPr>
          <w:rStyle w:val="FootnoteReference"/>
        </w:rPr>
        <w:footnoteReference w:id="71"/>
      </w:r>
      <w:r w:rsidR="00AE0A16">
        <w:rPr>
          <w:rFonts w:cs="Times New Roman"/>
        </w:rPr>
        <w:t xml:space="preserve">  </w:t>
      </w:r>
      <w:r w:rsidR="00200295">
        <w:rPr>
          <w:rFonts w:cs="Times New Roman"/>
        </w:rPr>
        <w:t>67.3</w:t>
      </w:r>
      <w:r w:rsidR="00AE0A16">
        <w:rPr>
          <w:rFonts w:cs="Times New Roman"/>
        </w:rPr>
        <w:t xml:space="preserve">% of LPTV broadcasters successfully retransmitted the alert, </w:t>
      </w:r>
      <w:r w:rsidRPr="009E2B59" w:rsidR="00AE0A16">
        <w:rPr>
          <w:rFonts w:cs="Times New Roman"/>
        </w:rPr>
        <w:t xml:space="preserve">approximately </w:t>
      </w:r>
      <w:r w:rsidR="00200295">
        <w:rPr>
          <w:rFonts w:cs="Times New Roman"/>
        </w:rPr>
        <w:t>17</w:t>
      </w:r>
      <w:r w:rsidRPr="009E2B59" w:rsidR="00AE0A16">
        <w:rPr>
          <w:rFonts w:cs="Times New Roman"/>
        </w:rPr>
        <w:t>% less than the rate of all television broadcasters</w:t>
      </w:r>
      <w:r w:rsidR="00AE0A16">
        <w:rPr>
          <w:rFonts w:cs="Times New Roman"/>
        </w:rPr>
        <w:t>.</w:t>
      </w:r>
      <w:r w:rsidRPr="00AE0A16" w:rsidR="00AE0A16">
        <w:rPr>
          <w:rFonts w:cs="Times New Roman"/>
        </w:rPr>
        <w:t xml:space="preserve"> </w:t>
      </w:r>
      <w:r w:rsidR="00AE0A16">
        <w:rPr>
          <w:rFonts w:cs="Times New Roman"/>
        </w:rPr>
        <w:t xml:space="preserve"> </w:t>
      </w:r>
      <w:r w:rsidRPr="00B138AD" w:rsidR="00AE0A16">
        <w:rPr>
          <w:rFonts w:cs="Times New Roman"/>
        </w:rPr>
        <w:t xml:space="preserve">This is a </w:t>
      </w:r>
      <w:r w:rsidR="00200295">
        <w:rPr>
          <w:rFonts w:cs="Times New Roman"/>
        </w:rPr>
        <w:t>decline from 2017, when 72.3% reported successfully retransmitting the alert.</w:t>
      </w:r>
      <w:r>
        <w:rPr>
          <w:rStyle w:val="FootnoteReference"/>
        </w:rPr>
        <w:footnoteReference w:id="72"/>
      </w:r>
      <w:r w:rsidR="00805626">
        <w:rPr>
          <w:rFonts w:cs="Times New Roman"/>
        </w:rPr>
        <w:t xml:space="preserve">  </w:t>
      </w:r>
    </w:p>
    <w:p w:rsidR="004E3D74" w:rsidRPr="00785A17" w:rsidP="004E3D74" w14:paraId="02CF2A17" w14:textId="67C8E262">
      <w:pPr>
        <w:pStyle w:val="ParaNum"/>
        <w:keepNext/>
        <w:keepLines/>
        <w:numPr>
          <w:ilvl w:val="0"/>
          <w:numId w:val="0"/>
        </w:numPr>
        <w:rPr>
          <w:rFonts w:cs="Times New Roman"/>
          <w:b/>
        </w:rPr>
      </w:pPr>
      <w:r w:rsidRPr="00785A17">
        <w:rPr>
          <w:rFonts w:cs="Times New Roman"/>
          <w:b/>
        </w:rPr>
        <w:t xml:space="preserve">Table </w:t>
      </w:r>
      <w:r w:rsidR="00835149">
        <w:rPr>
          <w:rFonts w:cs="Times New Roman"/>
          <w:b/>
        </w:rPr>
        <w:t>7</w:t>
      </w:r>
      <w:r w:rsidRPr="00785A17">
        <w:rPr>
          <w:rFonts w:cs="Times New Roman"/>
          <w:b/>
        </w:rPr>
        <w:t>. Test Results of Broadcasters</w:t>
      </w:r>
    </w:p>
    <w:tbl>
      <w:tblPr>
        <w:tblW w:w="9360" w:type="dxa"/>
        <w:tblInd w:w="93" w:type="dxa"/>
        <w:tblLayout w:type="fixed"/>
        <w:tblLook w:val="0000"/>
      </w:tblPr>
      <w:tblGrid>
        <w:gridCol w:w="1763"/>
        <w:gridCol w:w="1919"/>
        <w:gridCol w:w="1419"/>
        <w:gridCol w:w="1420"/>
        <w:gridCol w:w="1419"/>
        <w:gridCol w:w="1420"/>
      </w:tblGrid>
      <w:tr w14:paraId="4BBB797F" w14:textId="77777777" w:rsidTr="00085542">
        <w:tblPrEx>
          <w:tblW w:w="9360" w:type="dxa"/>
          <w:tblInd w:w="93" w:type="dxa"/>
          <w:tblLayout w:type="fixed"/>
          <w:tblLook w:val="0000"/>
        </w:tblPrEx>
        <w:trPr>
          <w:trHeight w:val="467"/>
        </w:trPr>
        <w:tc>
          <w:tcPr>
            <w:tcW w:w="1763" w:type="dxa"/>
            <w:vMerge w:val="restart"/>
            <w:tcBorders>
              <w:top w:val="single" w:sz="4" w:space="0" w:color="auto"/>
              <w:left w:val="single" w:sz="4" w:space="0" w:color="auto"/>
              <w:right w:val="single" w:sz="4" w:space="0" w:color="auto"/>
            </w:tcBorders>
            <w:shd w:val="clear" w:color="auto" w:fill="C0C0C0"/>
            <w:noWrap/>
            <w:vAlign w:val="bottom"/>
          </w:tcPr>
          <w:p w:rsidR="004E3D74" w:rsidRPr="00085542" w:rsidP="00085542" w14:paraId="608E6069" w14:textId="77777777">
            <w:pPr>
              <w:keepNext/>
              <w:keepLines/>
              <w:spacing w:after="120"/>
              <w:jc w:val="center"/>
              <w:rPr>
                <w:rFonts w:cs="Times New Roman"/>
                <w:b/>
                <w:color w:val="000000"/>
                <w:kern w:val="0"/>
              </w:rPr>
            </w:pPr>
            <w:r w:rsidRPr="255FCAE1">
              <w:rPr>
                <w:rFonts w:cs="Times New Roman"/>
                <w:b/>
                <w:color w:val="000000"/>
                <w:kern w:val="0"/>
              </w:rPr>
              <w:t>EAS Participant Type</w:t>
            </w:r>
          </w:p>
        </w:tc>
        <w:tc>
          <w:tcPr>
            <w:tcW w:w="1919" w:type="dxa"/>
            <w:vMerge w:val="restart"/>
            <w:tcBorders>
              <w:top w:val="single" w:sz="4" w:space="0" w:color="auto"/>
              <w:left w:val="single" w:sz="4" w:space="0" w:color="auto"/>
              <w:right w:val="single" w:sz="4" w:space="0" w:color="auto"/>
            </w:tcBorders>
            <w:shd w:val="clear" w:color="auto" w:fill="C0C0C0"/>
            <w:vAlign w:val="bottom"/>
          </w:tcPr>
          <w:p w:rsidR="004E3D74" w:rsidRPr="00085542" w:rsidP="00085542" w14:paraId="511594DB" w14:textId="77777777">
            <w:pPr>
              <w:keepNext/>
              <w:keepLines/>
              <w:spacing w:after="120"/>
              <w:jc w:val="center"/>
              <w:rPr>
                <w:rFonts w:cs="Times New Roman"/>
                <w:b/>
                <w:color w:val="000000"/>
                <w:kern w:val="0"/>
              </w:rPr>
            </w:pPr>
            <w:r w:rsidRPr="255FCAE1">
              <w:rPr>
                <w:rFonts w:cs="Times New Roman"/>
                <w:b/>
                <w:color w:val="000000"/>
                <w:kern w:val="0"/>
              </w:rPr>
              <w:t>Test Participants</w:t>
            </w:r>
          </w:p>
        </w:tc>
        <w:tc>
          <w:tcPr>
            <w:tcW w:w="2839" w:type="dxa"/>
            <w:gridSpan w:val="2"/>
            <w:tcBorders>
              <w:top w:val="single" w:sz="4" w:space="0" w:color="auto"/>
              <w:left w:val="single" w:sz="4" w:space="0" w:color="auto"/>
              <w:right w:val="single" w:sz="4" w:space="0" w:color="auto"/>
            </w:tcBorders>
            <w:shd w:val="clear" w:color="auto" w:fill="C0C0C0"/>
            <w:vAlign w:val="bottom"/>
          </w:tcPr>
          <w:p w:rsidR="004E3D74" w:rsidRPr="00085542" w:rsidP="00085542" w14:paraId="43FC77F1" w14:textId="77777777">
            <w:pPr>
              <w:keepNext/>
              <w:keepLines/>
              <w:spacing w:after="120"/>
              <w:jc w:val="center"/>
              <w:rPr>
                <w:rFonts w:cs="Times New Roman"/>
                <w:b/>
                <w:color w:val="000000"/>
                <w:kern w:val="0"/>
              </w:rPr>
            </w:pPr>
            <w:r w:rsidRPr="255FCAE1">
              <w:rPr>
                <w:rFonts w:cs="Times New Roman"/>
                <w:b/>
                <w:color w:val="000000"/>
                <w:kern w:val="0"/>
              </w:rPr>
              <w:t xml:space="preserve">Successfully </w:t>
            </w:r>
            <w:r w:rsidRPr="00B57342" w:rsidR="00946FB1">
              <w:rPr>
                <w:rFonts w:cs="Times New Roman"/>
                <w:b/>
                <w:color w:val="000000"/>
                <w:kern w:val="0"/>
                <w:szCs w:val="22"/>
              </w:rPr>
              <w:br/>
            </w:r>
            <w:r w:rsidRPr="255FCAE1">
              <w:rPr>
                <w:rFonts w:cs="Times New Roman"/>
                <w:b/>
                <w:color w:val="000000"/>
                <w:kern w:val="0"/>
              </w:rPr>
              <w:t>Received Alert</w:t>
            </w:r>
          </w:p>
        </w:tc>
        <w:tc>
          <w:tcPr>
            <w:tcW w:w="2839" w:type="dxa"/>
            <w:gridSpan w:val="2"/>
            <w:tcBorders>
              <w:top w:val="single" w:sz="4" w:space="0" w:color="auto"/>
              <w:left w:val="single" w:sz="4" w:space="0" w:color="auto"/>
              <w:right w:val="single" w:sz="4" w:space="0" w:color="auto"/>
            </w:tcBorders>
            <w:shd w:val="clear" w:color="auto" w:fill="C0C0C0"/>
            <w:vAlign w:val="bottom"/>
          </w:tcPr>
          <w:p w:rsidR="004E3D74" w:rsidRPr="00085542" w:rsidP="00085542" w14:paraId="47921EFC" w14:textId="77777777">
            <w:pPr>
              <w:keepNext/>
              <w:keepLines/>
              <w:spacing w:after="120"/>
              <w:jc w:val="center"/>
              <w:rPr>
                <w:rFonts w:cs="Times New Roman"/>
                <w:b/>
                <w:color w:val="000000"/>
                <w:kern w:val="0"/>
              </w:rPr>
            </w:pPr>
            <w:r w:rsidRPr="255FCAE1">
              <w:rPr>
                <w:rFonts w:cs="Times New Roman"/>
                <w:b/>
                <w:color w:val="000000"/>
                <w:kern w:val="0"/>
              </w:rPr>
              <w:t xml:space="preserve">Successfully </w:t>
            </w:r>
            <w:r w:rsidRPr="00B57342" w:rsidR="00946FB1">
              <w:rPr>
                <w:rFonts w:cs="Times New Roman"/>
                <w:b/>
                <w:color w:val="000000"/>
                <w:kern w:val="0"/>
                <w:szCs w:val="22"/>
              </w:rPr>
              <w:br/>
            </w:r>
            <w:r w:rsidRPr="255FCAE1">
              <w:rPr>
                <w:rFonts w:cs="Times New Roman"/>
                <w:b/>
                <w:color w:val="000000"/>
                <w:kern w:val="0"/>
              </w:rPr>
              <w:t>Retransmitted Alert</w:t>
            </w:r>
          </w:p>
        </w:tc>
      </w:tr>
      <w:tr w14:paraId="4CE92F0C" w14:textId="77777777" w:rsidTr="00085542">
        <w:tblPrEx>
          <w:tblW w:w="9360" w:type="dxa"/>
          <w:tblInd w:w="93" w:type="dxa"/>
          <w:tblLayout w:type="fixed"/>
          <w:tblLook w:val="0000"/>
        </w:tblPrEx>
        <w:trPr>
          <w:trHeight w:val="170"/>
        </w:trPr>
        <w:tc>
          <w:tcPr>
            <w:tcW w:w="1763" w:type="dxa"/>
            <w:vMerge/>
            <w:tcBorders>
              <w:left w:val="single" w:sz="4" w:space="0" w:color="auto"/>
              <w:right w:val="single" w:sz="4" w:space="0" w:color="auto"/>
            </w:tcBorders>
            <w:shd w:val="clear" w:color="auto" w:fill="C0C0C0"/>
            <w:noWrap/>
            <w:vAlign w:val="bottom"/>
          </w:tcPr>
          <w:p w:rsidR="004E3D74" w:rsidRPr="00B57342" w:rsidP="004E3D74" w14:paraId="7230CFB4" w14:textId="77777777">
            <w:pPr>
              <w:keepNext/>
              <w:keepLines/>
              <w:spacing w:after="120"/>
              <w:jc w:val="center"/>
              <w:rPr>
                <w:rFonts w:cs="Times New Roman"/>
                <w:b/>
                <w:color w:val="000000"/>
                <w:kern w:val="0"/>
                <w:szCs w:val="22"/>
              </w:rPr>
            </w:pPr>
          </w:p>
        </w:tc>
        <w:tc>
          <w:tcPr>
            <w:tcW w:w="1919" w:type="dxa"/>
            <w:vMerge/>
            <w:tcBorders>
              <w:left w:val="single" w:sz="4" w:space="0" w:color="auto"/>
              <w:right w:val="single" w:sz="4" w:space="0" w:color="auto"/>
            </w:tcBorders>
            <w:shd w:val="clear" w:color="auto" w:fill="C0C0C0"/>
            <w:vAlign w:val="bottom"/>
          </w:tcPr>
          <w:p w:rsidR="004E3D74" w:rsidRPr="00B57342" w:rsidP="004E3D74" w14:paraId="559D3309" w14:textId="77777777">
            <w:pPr>
              <w:keepNext/>
              <w:keepLines/>
              <w:spacing w:after="120"/>
              <w:jc w:val="center"/>
              <w:rPr>
                <w:rFonts w:cs="Times New Roman"/>
                <w:b/>
                <w:color w:val="000000"/>
                <w:kern w:val="0"/>
                <w:szCs w:val="22"/>
              </w:rPr>
            </w:pPr>
          </w:p>
        </w:tc>
        <w:tc>
          <w:tcPr>
            <w:tcW w:w="1419" w:type="dxa"/>
            <w:tcBorders>
              <w:top w:val="single" w:sz="4" w:space="0" w:color="auto"/>
              <w:left w:val="single" w:sz="4" w:space="0" w:color="auto"/>
              <w:right w:val="single" w:sz="4" w:space="0" w:color="auto"/>
            </w:tcBorders>
            <w:shd w:val="clear" w:color="auto" w:fill="C0C0C0"/>
            <w:vAlign w:val="bottom"/>
          </w:tcPr>
          <w:p w:rsidR="004E3D74" w:rsidRPr="00085542" w:rsidP="00085542" w14:paraId="0ABBC9D9" w14:textId="77777777">
            <w:pPr>
              <w:keepNext/>
              <w:keepLines/>
              <w:spacing w:after="120"/>
              <w:jc w:val="center"/>
              <w:rPr>
                <w:rFonts w:cs="Times New Roman"/>
                <w:b/>
                <w:color w:val="000000"/>
                <w:kern w:val="0"/>
              </w:rPr>
            </w:pPr>
            <w:r w:rsidRPr="255FCAE1">
              <w:rPr>
                <w:rFonts w:cs="Times New Roman"/>
                <w:b/>
                <w:color w:val="000000"/>
                <w:kern w:val="0"/>
              </w:rPr>
              <w:t>#</w:t>
            </w:r>
          </w:p>
        </w:tc>
        <w:tc>
          <w:tcPr>
            <w:tcW w:w="1420" w:type="dxa"/>
            <w:tcBorders>
              <w:top w:val="single" w:sz="4" w:space="0" w:color="auto"/>
              <w:left w:val="single" w:sz="4" w:space="0" w:color="auto"/>
              <w:right w:val="single" w:sz="4" w:space="0" w:color="auto"/>
            </w:tcBorders>
            <w:shd w:val="clear" w:color="auto" w:fill="C0C0C0"/>
            <w:vAlign w:val="bottom"/>
          </w:tcPr>
          <w:p w:rsidR="004E3D74" w:rsidRPr="00085542" w:rsidP="00085542" w14:paraId="613B3AAF" w14:textId="77777777">
            <w:pPr>
              <w:keepNext/>
              <w:keepLines/>
              <w:spacing w:after="120"/>
              <w:jc w:val="center"/>
              <w:rPr>
                <w:rFonts w:cs="Times New Roman"/>
                <w:b/>
                <w:color w:val="000000"/>
                <w:kern w:val="0"/>
              </w:rPr>
            </w:pPr>
            <w:r w:rsidRPr="255FCAE1">
              <w:rPr>
                <w:rFonts w:cs="Times New Roman"/>
                <w:b/>
                <w:color w:val="000000"/>
                <w:kern w:val="0"/>
              </w:rPr>
              <w:t>%</w:t>
            </w:r>
          </w:p>
        </w:tc>
        <w:tc>
          <w:tcPr>
            <w:tcW w:w="1419" w:type="dxa"/>
            <w:tcBorders>
              <w:top w:val="single" w:sz="4" w:space="0" w:color="auto"/>
              <w:left w:val="single" w:sz="4" w:space="0" w:color="auto"/>
              <w:right w:val="single" w:sz="4" w:space="0" w:color="auto"/>
            </w:tcBorders>
            <w:shd w:val="clear" w:color="auto" w:fill="C0C0C0"/>
            <w:vAlign w:val="bottom"/>
          </w:tcPr>
          <w:p w:rsidR="004E3D74" w:rsidRPr="00085542" w:rsidP="00085542" w14:paraId="384735E6" w14:textId="77777777">
            <w:pPr>
              <w:keepNext/>
              <w:keepLines/>
              <w:spacing w:after="120"/>
              <w:jc w:val="center"/>
              <w:rPr>
                <w:rFonts w:cs="Times New Roman"/>
                <w:b/>
                <w:color w:val="000000"/>
                <w:kern w:val="0"/>
              </w:rPr>
            </w:pPr>
            <w:r w:rsidRPr="255FCAE1">
              <w:rPr>
                <w:rFonts w:cs="Times New Roman"/>
                <w:b/>
                <w:color w:val="000000"/>
                <w:kern w:val="0"/>
              </w:rPr>
              <w:t>#</w:t>
            </w:r>
          </w:p>
        </w:tc>
        <w:tc>
          <w:tcPr>
            <w:tcW w:w="1420" w:type="dxa"/>
            <w:tcBorders>
              <w:top w:val="single" w:sz="4" w:space="0" w:color="auto"/>
              <w:left w:val="single" w:sz="4" w:space="0" w:color="auto"/>
              <w:right w:val="single" w:sz="4" w:space="0" w:color="auto"/>
            </w:tcBorders>
            <w:shd w:val="clear" w:color="auto" w:fill="C0C0C0"/>
            <w:vAlign w:val="bottom"/>
          </w:tcPr>
          <w:p w:rsidR="004E3D74" w:rsidRPr="00085542" w:rsidP="00085542" w14:paraId="1EEB88BB" w14:textId="77777777">
            <w:pPr>
              <w:keepNext/>
              <w:keepLines/>
              <w:spacing w:after="120"/>
              <w:jc w:val="center"/>
              <w:rPr>
                <w:rFonts w:cs="Times New Roman"/>
                <w:b/>
                <w:color w:val="000000"/>
                <w:kern w:val="0"/>
              </w:rPr>
            </w:pPr>
            <w:r w:rsidRPr="255FCAE1">
              <w:rPr>
                <w:rFonts w:cs="Times New Roman"/>
                <w:b/>
                <w:color w:val="000000"/>
                <w:kern w:val="0"/>
              </w:rPr>
              <w:t>%</w:t>
            </w:r>
          </w:p>
        </w:tc>
      </w:tr>
      <w:tr w14:paraId="7D044205" w14:textId="77777777" w:rsidTr="00085542">
        <w:tblPrEx>
          <w:tblW w:w="9360" w:type="dxa"/>
          <w:tblInd w:w="93" w:type="dxa"/>
          <w:tblLayout w:type="fixed"/>
          <w:tblLook w:val="0000"/>
        </w:tblPrEx>
        <w:trPr>
          <w:trHeight w:val="253"/>
        </w:trPr>
        <w:tc>
          <w:tcPr>
            <w:tcW w:w="1763" w:type="dxa"/>
            <w:tcBorders>
              <w:top w:val="nil"/>
              <w:left w:val="single" w:sz="4" w:space="0" w:color="auto"/>
              <w:bottom w:val="single" w:sz="4" w:space="0" w:color="auto"/>
              <w:right w:val="single" w:sz="4" w:space="0" w:color="auto"/>
            </w:tcBorders>
            <w:shd w:val="clear" w:color="auto" w:fill="FFFFFF" w:themeFill="background1"/>
            <w:vAlign w:val="bottom"/>
          </w:tcPr>
          <w:p w:rsidR="00C9091A" w:rsidRPr="00341818" w:rsidP="00C9091A" w14:paraId="28BEB348" w14:textId="77777777">
            <w:pPr>
              <w:keepNext/>
              <w:keepLines/>
              <w:spacing w:after="120"/>
              <w:jc w:val="right"/>
              <w:rPr>
                <w:rFonts w:cs="Times New Roman"/>
                <w:color w:val="000000"/>
                <w:kern w:val="0"/>
              </w:rPr>
            </w:pPr>
            <w:r w:rsidRPr="005B7CDC">
              <w:rPr>
                <w:rFonts w:cs="Times New Roman"/>
                <w:color w:val="000000"/>
                <w:kern w:val="0"/>
              </w:rPr>
              <w:t xml:space="preserve">All Radio </w:t>
            </w:r>
            <w:r w:rsidRPr="00341818">
              <w:rPr>
                <w:rFonts w:cs="Times New Roman"/>
                <w:color w:val="000000"/>
                <w:kern w:val="0"/>
              </w:rPr>
              <w:t>Broadcasters</w:t>
            </w:r>
          </w:p>
        </w:tc>
        <w:tc>
          <w:tcPr>
            <w:tcW w:w="1919" w:type="dxa"/>
            <w:tcBorders>
              <w:top w:val="nil"/>
              <w:left w:val="single" w:sz="4" w:space="0" w:color="auto"/>
              <w:bottom w:val="single" w:sz="4" w:space="0" w:color="auto"/>
              <w:right w:val="single" w:sz="4" w:space="0" w:color="auto"/>
            </w:tcBorders>
            <w:shd w:val="clear" w:color="auto" w:fill="FFFFFF" w:themeFill="background1"/>
            <w:vAlign w:val="bottom"/>
          </w:tcPr>
          <w:p w:rsidR="00C9091A" w:rsidRPr="00200295" w:rsidP="00C9091A" w14:paraId="36F0956B" w14:textId="77777777">
            <w:pPr>
              <w:keepNext/>
              <w:keepLines/>
              <w:spacing w:after="120"/>
              <w:jc w:val="center"/>
              <w:rPr>
                <w:rFonts w:cs="Times New Roman"/>
                <w:color w:val="000000"/>
                <w:kern w:val="0"/>
              </w:rPr>
            </w:pPr>
            <w:r w:rsidRPr="00200295">
              <w:rPr>
                <w:rFonts w:cs="Times New Roman"/>
                <w:color w:val="000000"/>
                <w:kern w:val="0"/>
              </w:rPr>
              <w:t>13</w:t>
            </w:r>
            <w:r w:rsidRPr="00200295" w:rsidR="0056130D">
              <w:rPr>
                <w:rFonts w:cs="Times New Roman"/>
                <w:color w:val="000000"/>
                <w:kern w:val="0"/>
              </w:rPr>
              <w:t>435</w:t>
            </w:r>
          </w:p>
        </w:tc>
        <w:tc>
          <w:tcPr>
            <w:tcW w:w="1419" w:type="dxa"/>
            <w:tcBorders>
              <w:top w:val="nil"/>
              <w:left w:val="single" w:sz="4" w:space="0" w:color="auto"/>
              <w:bottom w:val="single" w:sz="4" w:space="0" w:color="auto"/>
              <w:right w:val="single" w:sz="4" w:space="0" w:color="auto"/>
            </w:tcBorders>
            <w:shd w:val="clear" w:color="auto" w:fill="FFFFFF" w:themeFill="background1"/>
            <w:vAlign w:val="bottom"/>
          </w:tcPr>
          <w:p w:rsidR="00C9091A" w:rsidRPr="00200295" w:rsidP="00C9091A" w14:paraId="46A0EF8E" w14:textId="77777777">
            <w:pPr>
              <w:keepNext/>
              <w:keepLines/>
              <w:spacing w:after="120"/>
              <w:jc w:val="center"/>
              <w:rPr>
                <w:rFonts w:cs="Times New Roman"/>
                <w:color w:val="000000"/>
                <w:kern w:val="0"/>
              </w:rPr>
            </w:pPr>
            <w:r w:rsidRPr="00200295">
              <w:rPr>
                <w:rFonts w:cs="Times New Roman"/>
                <w:color w:val="000000"/>
                <w:kern w:val="0"/>
              </w:rPr>
              <w:t>12</w:t>
            </w:r>
            <w:r w:rsidRPr="00200295" w:rsidR="0056130D">
              <w:rPr>
                <w:rFonts w:cs="Times New Roman"/>
                <w:color w:val="000000"/>
                <w:kern w:val="0"/>
              </w:rPr>
              <w:t>954</w:t>
            </w:r>
          </w:p>
        </w:tc>
        <w:tc>
          <w:tcPr>
            <w:tcW w:w="1420" w:type="dxa"/>
            <w:tcBorders>
              <w:top w:val="nil"/>
              <w:left w:val="single" w:sz="4" w:space="0" w:color="auto"/>
              <w:bottom w:val="single" w:sz="4" w:space="0" w:color="auto"/>
              <w:right w:val="single" w:sz="4" w:space="0" w:color="auto"/>
            </w:tcBorders>
            <w:shd w:val="clear" w:color="auto" w:fill="FFFFFF" w:themeFill="background1"/>
            <w:vAlign w:val="bottom"/>
          </w:tcPr>
          <w:p w:rsidR="00C9091A" w:rsidRPr="00200295" w:rsidP="00C9091A" w14:paraId="2712F194" w14:textId="77777777">
            <w:pPr>
              <w:keepNext/>
              <w:keepLines/>
              <w:spacing w:after="120"/>
              <w:jc w:val="center"/>
              <w:rPr>
                <w:rFonts w:cs="Times New Roman"/>
                <w:color w:val="000000"/>
                <w:kern w:val="0"/>
              </w:rPr>
            </w:pPr>
            <w:r w:rsidRPr="00200295">
              <w:rPr>
                <w:rFonts w:cs="Times New Roman"/>
                <w:color w:val="000000"/>
                <w:kern w:val="0"/>
              </w:rPr>
              <w:t>9</w:t>
            </w:r>
            <w:r w:rsidRPr="00200295" w:rsidR="0056130D">
              <w:rPr>
                <w:rFonts w:cs="Times New Roman"/>
                <w:color w:val="000000"/>
                <w:kern w:val="0"/>
              </w:rPr>
              <w:t>6.4</w:t>
            </w:r>
            <w:r w:rsidRPr="00200295">
              <w:rPr>
                <w:rFonts w:cs="Times New Roman"/>
                <w:color w:val="000000"/>
                <w:kern w:val="0"/>
              </w:rPr>
              <w:t>%</w:t>
            </w:r>
          </w:p>
        </w:tc>
        <w:tc>
          <w:tcPr>
            <w:tcW w:w="1419" w:type="dxa"/>
            <w:tcBorders>
              <w:top w:val="nil"/>
              <w:left w:val="single" w:sz="4" w:space="0" w:color="auto"/>
              <w:bottom w:val="single" w:sz="4" w:space="0" w:color="auto"/>
              <w:right w:val="single" w:sz="4" w:space="0" w:color="auto"/>
            </w:tcBorders>
            <w:shd w:val="clear" w:color="auto" w:fill="FFFFFF" w:themeFill="background1"/>
            <w:vAlign w:val="bottom"/>
          </w:tcPr>
          <w:p w:rsidR="00C9091A" w:rsidRPr="00200295" w:rsidP="00C9091A" w14:paraId="1CCA9030" w14:textId="77777777">
            <w:pPr>
              <w:keepNext/>
              <w:keepLines/>
              <w:spacing w:after="120"/>
              <w:jc w:val="center"/>
              <w:rPr>
                <w:rFonts w:cs="Times New Roman"/>
                <w:color w:val="000000"/>
                <w:kern w:val="0"/>
              </w:rPr>
            </w:pPr>
            <w:r w:rsidRPr="00200295">
              <w:rPr>
                <w:rFonts w:cs="Times New Roman"/>
                <w:color w:val="000000"/>
                <w:kern w:val="0"/>
              </w:rPr>
              <w:t>12</w:t>
            </w:r>
            <w:r w:rsidRPr="00200295" w:rsidR="0056130D">
              <w:rPr>
                <w:rFonts w:cs="Times New Roman"/>
                <w:color w:val="000000"/>
                <w:kern w:val="0"/>
              </w:rPr>
              <w:t>591</w:t>
            </w:r>
          </w:p>
        </w:tc>
        <w:tc>
          <w:tcPr>
            <w:tcW w:w="1420" w:type="dxa"/>
            <w:tcBorders>
              <w:top w:val="nil"/>
              <w:left w:val="single" w:sz="4" w:space="0" w:color="auto"/>
              <w:bottom w:val="single" w:sz="4" w:space="0" w:color="auto"/>
              <w:right w:val="single" w:sz="4" w:space="0" w:color="auto"/>
            </w:tcBorders>
            <w:shd w:val="clear" w:color="auto" w:fill="FFFFFF" w:themeFill="background1"/>
            <w:vAlign w:val="bottom"/>
          </w:tcPr>
          <w:p w:rsidR="00C9091A" w:rsidRPr="00200295" w:rsidP="00C9091A" w14:paraId="220A379D" w14:textId="77777777">
            <w:pPr>
              <w:keepNext/>
              <w:keepLines/>
              <w:spacing w:after="120"/>
              <w:jc w:val="center"/>
              <w:rPr>
                <w:rFonts w:cs="Times New Roman"/>
                <w:color w:val="000000"/>
                <w:kern w:val="0"/>
              </w:rPr>
            </w:pPr>
            <w:r w:rsidRPr="00200295">
              <w:rPr>
                <w:rFonts w:cs="Times New Roman"/>
                <w:color w:val="000000"/>
                <w:kern w:val="0"/>
              </w:rPr>
              <w:t>9</w:t>
            </w:r>
            <w:r w:rsidRPr="00200295" w:rsidR="0056130D">
              <w:rPr>
                <w:rFonts w:cs="Times New Roman"/>
                <w:color w:val="000000"/>
                <w:kern w:val="0"/>
              </w:rPr>
              <w:t>3.7</w:t>
            </w:r>
            <w:r w:rsidRPr="00200295">
              <w:rPr>
                <w:rFonts w:cs="Times New Roman"/>
                <w:color w:val="000000"/>
                <w:kern w:val="0"/>
              </w:rPr>
              <w:t>%</w:t>
            </w:r>
          </w:p>
        </w:tc>
      </w:tr>
      <w:tr w14:paraId="5232791B" w14:textId="77777777" w:rsidTr="00085542">
        <w:tblPrEx>
          <w:tblW w:w="9360" w:type="dxa"/>
          <w:tblInd w:w="93" w:type="dxa"/>
          <w:tblLayout w:type="fixed"/>
          <w:tblLook w:val="0000"/>
        </w:tblPrEx>
        <w:trPr>
          <w:trHeight w:val="253"/>
        </w:trPr>
        <w:tc>
          <w:tcPr>
            <w:tcW w:w="1763" w:type="dxa"/>
            <w:tcBorders>
              <w:left w:val="single" w:sz="4" w:space="0" w:color="auto"/>
              <w:bottom w:val="single" w:sz="4" w:space="0" w:color="auto"/>
              <w:right w:val="single" w:sz="4" w:space="0" w:color="auto"/>
            </w:tcBorders>
            <w:vAlign w:val="bottom"/>
          </w:tcPr>
          <w:p w:rsidR="004E3D74" w:rsidRPr="00341818" w:rsidP="004E3D74" w14:paraId="2765BEAB" w14:textId="77777777">
            <w:pPr>
              <w:keepNext/>
              <w:keepLines/>
              <w:spacing w:after="120"/>
              <w:jc w:val="right"/>
              <w:rPr>
                <w:rFonts w:cs="Times New Roman"/>
                <w:color w:val="000000"/>
                <w:kern w:val="0"/>
              </w:rPr>
            </w:pPr>
            <w:r w:rsidRPr="005B7CDC">
              <w:rPr>
                <w:rFonts w:cs="Times New Roman"/>
                <w:color w:val="000000"/>
                <w:kern w:val="0"/>
              </w:rPr>
              <w:t>LPFM Broadcasters</w:t>
            </w:r>
          </w:p>
        </w:tc>
        <w:tc>
          <w:tcPr>
            <w:tcW w:w="1919" w:type="dxa"/>
            <w:tcBorders>
              <w:left w:val="single" w:sz="4" w:space="0" w:color="auto"/>
              <w:bottom w:val="single" w:sz="4" w:space="0" w:color="auto"/>
              <w:right w:val="single" w:sz="4" w:space="0" w:color="auto"/>
            </w:tcBorders>
            <w:vAlign w:val="bottom"/>
          </w:tcPr>
          <w:p w:rsidR="004E3D74" w:rsidRPr="00200295" w:rsidP="004E3D74" w14:paraId="05505B8D" w14:textId="77777777">
            <w:pPr>
              <w:keepNext/>
              <w:keepLines/>
              <w:spacing w:after="120"/>
              <w:jc w:val="center"/>
              <w:rPr>
                <w:rFonts w:cs="Times New Roman"/>
                <w:color w:val="000000"/>
                <w:kern w:val="0"/>
              </w:rPr>
            </w:pPr>
            <w:r w:rsidRPr="00200295">
              <w:rPr>
                <w:rFonts w:cs="Times New Roman"/>
                <w:color w:val="000000"/>
                <w:kern w:val="0"/>
              </w:rPr>
              <w:t>962</w:t>
            </w:r>
          </w:p>
        </w:tc>
        <w:tc>
          <w:tcPr>
            <w:tcW w:w="1419" w:type="dxa"/>
            <w:tcBorders>
              <w:top w:val="nil"/>
              <w:left w:val="single" w:sz="4" w:space="0" w:color="auto"/>
              <w:bottom w:val="single" w:sz="4" w:space="0" w:color="auto"/>
              <w:right w:val="single" w:sz="4" w:space="0" w:color="auto"/>
            </w:tcBorders>
            <w:vAlign w:val="bottom"/>
          </w:tcPr>
          <w:p w:rsidR="004E3D74" w:rsidRPr="00200295" w:rsidP="004E3D74" w14:paraId="76D4D0E3" w14:textId="77777777">
            <w:pPr>
              <w:keepNext/>
              <w:keepLines/>
              <w:spacing w:after="120"/>
              <w:jc w:val="center"/>
              <w:rPr>
                <w:rFonts w:cs="Times New Roman"/>
                <w:color w:val="000000"/>
                <w:kern w:val="0"/>
              </w:rPr>
            </w:pPr>
            <w:r w:rsidRPr="00200295">
              <w:rPr>
                <w:rFonts w:cs="Times New Roman"/>
                <w:color w:val="000000"/>
                <w:kern w:val="0"/>
              </w:rPr>
              <w:t>8</w:t>
            </w:r>
            <w:r w:rsidRPr="00200295" w:rsidR="00DB29ED">
              <w:rPr>
                <w:rFonts w:cs="Times New Roman"/>
                <w:color w:val="000000"/>
                <w:kern w:val="0"/>
              </w:rPr>
              <w:t>69</w:t>
            </w:r>
          </w:p>
        </w:tc>
        <w:tc>
          <w:tcPr>
            <w:tcW w:w="1420" w:type="dxa"/>
            <w:tcBorders>
              <w:top w:val="nil"/>
              <w:left w:val="single" w:sz="4" w:space="0" w:color="auto"/>
              <w:bottom w:val="single" w:sz="4" w:space="0" w:color="auto"/>
              <w:right w:val="single" w:sz="4" w:space="0" w:color="auto"/>
            </w:tcBorders>
            <w:vAlign w:val="bottom"/>
          </w:tcPr>
          <w:p w:rsidR="004E3D74" w:rsidRPr="00200295" w:rsidP="004E3D74" w14:paraId="5D5E9C29" w14:textId="77777777">
            <w:pPr>
              <w:keepNext/>
              <w:keepLines/>
              <w:spacing w:after="120"/>
              <w:jc w:val="center"/>
              <w:rPr>
                <w:rFonts w:cs="Times New Roman"/>
                <w:color w:val="000000"/>
                <w:kern w:val="0"/>
              </w:rPr>
            </w:pPr>
            <w:r w:rsidRPr="00200295">
              <w:rPr>
                <w:rFonts w:cs="Times New Roman"/>
                <w:color w:val="000000"/>
                <w:kern w:val="0"/>
              </w:rPr>
              <w:t>9</w:t>
            </w:r>
            <w:r w:rsidRPr="00200295" w:rsidR="00200295">
              <w:rPr>
                <w:rFonts w:cs="Times New Roman"/>
                <w:color w:val="000000"/>
                <w:kern w:val="0"/>
              </w:rPr>
              <w:t>0</w:t>
            </w:r>
            <w:r w:rsidRPr="00200295">
              <w:rPr>
                <w:rFonts w:cs="Times New Roman"/>
                <w:color w:val="000000"/>
                <w:kern w:val="0"/>
              </w:rPr>
              <w:t>.</w:t>
            </w:r>
            <w:r w:rsidRPr="00200295" w:rsidR="00200295">
              <w:rPr>
                <w:rFonts w:cs="Times New Roman"/>
                <w:color w:val="000000"/>
                <w:kern w:val="0"/>
              </w:rPr>
              <w:t>3</w:t>
            </w:r>
            <w:r w:rsidRPr="00200295">
              <w:rPr>
                <w:rFonts w:cs="Times New Roman"/>
                <w:color w:val="000000"/>
                <w:kern w:val="0"/>
              </w:rPr>
              <w:t>%</w:t>
            </w:r>
          </w:p>
        </w:tc>
        <w:tc>
          <w:tcPr>
            <w:tcW w:w="1419" w:type="dxa"/>
            <w:tcBorders>
              <w:top w:val="nil"/>
              <w:left w:val="single" w:sz="4" w:space="0" w:color="auto"/>
              <w:bottom w:val="single" w:sz="4" w:space="0" w:color="auto"/>
              <w:right w:val="single" w:sz="4" w:space="0" w:color="auto"/>
            </w:tcBorders>
            <w:vAlign w:val="bottom"/>
          </w:tcPr>
          <w:p w:rsidR="004E3D74" w:rsidRPr="00200295" w:rsidP="004E3D74" w14:paraId="1199A8F0" w14:textId="77777777">
            <w:pPr>
              <w:keepNext/>
              <w:keepLines/>
              <w:spacing w:after="120"/>
              <w:jc w:val="center"/>
              <w:rPr>
                <w:rFonts w:cs="Times New Roman"/>
                <w:color w:val="000000"/>
                <w:kern w:val="0"/>
              </w:rPr>
            </w:pPr>
            <w:r w:rsidRPr="00200295">
              <w:rPr>
                <w:rFonts w:cs="Times New Roman"/>
                <w:color w:val="000000"/>
                <w:kern w:val="0"/>
              </w:rPr>
              <w:t>7</w:t>
            </w:r>
            <w:r w:rsidRPr="00200295" w:rsidR="00DB29ED">
              <w:rPr>
                <w:rFonts w:cs="Times New Roman"/>
                <w:color w:val="000000"/>
                <w:kern w:val="0"/>
              </w:rPr>
              <w:t>89</w:t>
            </w:r>
          </w:p>
        </w:tc>
        <w:tc>
          <w:tcPr>
            <w:tcW w:w="1420" w:type="dxa"/>
            <w:tcBorders>
              <w:top w:val="nil"/>
              <w:left w:val="single" w:sz="4" w:space="0" w:color="auto"/>
              <w:bottom w:val="single" w:sz="4" w:space="0" w:color="auto"/>
              <w:right w:val="single" w:sz="4" w:space="0" w:color="auto"/>
            </w:tcBorders>
            <w:vAlign w:val="bottom"/>
          </w:tcPr>
          <w:p w:rsidR="004E3D74" w:rsidRPr="00200295" w:rsidP="004E3D74" w14:paraId="4EF2C312" w14:textId="77777777">
            <w:pPr>
              <w:keepNext/>
              <w:keepLines/>
              <w:spacing w:after="120"/>
              <w:jc w:val="center"/>
              <w:rPr>
                <w:rFonts w:cs="Times New Roman"/>
                <w:color w:val="000000"/>
                <w:kern w:val="0"/>
              </w:rPr>
            </w:pPr>
            <w:r w:rsidRPr="00200295">
              <w:rPr>
                <w:rFonts w:cs="Times New Roman"/>
                <w:color w:val="000000"/>
                <w:kern w:val="0"/>
              </w:rPr>
              <w:t>82.0</w:t>
            </w:r>
            <w:r w:rsidRPr="00200295" w:rsidR="00033051">
              <w:rPr>
                <w:rFonts w:cs="Times New Roman"/>
                <w:color w:val="000000"/>
                <w:kern w:val="0"/>
              </w:rPr>
              <w:t>%</w:t>
            </w:r>
          </w:p>
        </w:tc>
      </w:tr>
      <w:tr w14:paraId="6EC7E599" w14:textId="77777777" w:rsidTr="00085542">
        <w:tblPrEx>
          <w:tblW w:w="9360" w:type="dxa"/>
          <w:tblInd w:w="93" w:type="dxa"/>
          <w:tblLayout w:type="fixed"/>
          <w:tblLook w:val="0000"/>
        </w:tblPrEx>
        <w:trPr>
          <w:trHeight w:val="253"/>
        </w:trPr>
        <w:tc>
          <w:tcPr>
            <w:tcW w:w="1763" w:type="dxa"/>
            <w:tcBorders>
              <w:top w:val="nil"/>
              <w:left w:val="single" w:sz="4" w:space="0" w:color="auto"/>
              <w:bottom w:val="single" w:sz="4" w:space="0" w:color="auto"/>
              <w:right w:val="single" w:sz="4" w:space="0" w:color="auto"/>
            </w:tcBorders>
            <w:vAlign w:val="bottom"/>
          </w:tcPr>
          <w:p w:rsidR="004E3D74" w:rsidRPr="00341818" w:rsidP="004E3D74" w14:paraId="755CEC67" w14:textId="77777777">
            <w:pPr>
              <w:keepNext/>
              <w:keepLines/>
              <w:spacing w:after="120"/>
              <w:jc w:val="right"/>
              <w:rPr>
                <w:rFonts w:cs="Times New Roman"/>
                <w:color w:val="000000"/>
                <w:kern w:val="0"/>
              </w:rPr>
            </w:pPr>
            <w:r w:rsidRPr="005B7CDC">
              <w:rPr>
                <w:rFonts w:cs="Times New Roman"/>
                <w:color w:val="000000"/>
                <w:kern w:val="0"/>
              </w:rPr>
              <w:t>All Television Broadcasters</w:t>
            </w:r>
          </w:p>
        </w:tc>
        <w:tc>
          <w:tcPr>
            <w:tcW w:w="1919" w:type="dxa"/>
            <w:tcBorders>
              <w:top w:val="nil"/>
              <w:left w:val="single" w:sz="4" w:space="0" w:color="auto"/>
              <w:bottom w:val="single" w:sz="4" w:space="0" w:color="auto"/>
              <w:right w:val="single" w:sz="4" w:space="0" w:color="auto"/>
            </w:tcBorders>
            <w:vAlign w:val="bottom"/>
          </w:tcPr>
          <w:p w:rsidR="004E3D74" w:rsidRPr="00200295" w:rsidP="004E3D74" w14:paraId="08E62554" w14:textId="77777777">
            <w:pPr>
              <w:keepNext/>
              <w:keepLines/>
              <w:spacing w:after="120"/>
              <w:jc w:val="center"/>
              <w:rPr>
                <w:rFonts w:cs="Times New Roman"/>
                <w:color w:val="000000"/>
                <w:kern w:val="0"/>
              </w:rPr>
            </w:pPr>
            <w:r w:rsidRPr="00200295">
              <w:rPr>
                <w:rFonts w:cs="Times New Roman"/>
                <w:color w:val="000000"/>
                <w:kern w:val="0"/>
              </w:rPr>
              <w:t>2</w:t>
            </w:r>
            <w:r w:rsidRPr="00200295" w:rsidR="0056130D">
              <w:rPr>
                <w:rFonts w:cs="Times New Roman"/>
                <w:color w:val="000000"/>
                <w:kern w:val="0"/>
              </w:rPr>
              <w:t>60</w:t>
            </w:r>
            <w:r w:rsidRPr="00200295" w:rsidR="00D362E3">
              <w:rPr>
                <w:rFonts w:cs="Times New Roman"/>
                <w:color w:val="000000"/>
                <w:kern w:val="0"/>
              </w:rPr>
              <w:t>6</w:t>
            </w:r>
          </w:p>
        </w:tc>
        <w:tc>
          <w:tcPr>
            <w:tcW w:w="1419" w:type="dxa"/>
            <w:tcBorders>
              <w:top w:val="nil"/>
              <w:left w:val="single" w:sz="4" w:space="0" w:color="auto"/>
              <w:bottom w:val="single" w:sz="4" w:space="0" w:color="auto"/>
              <w:right w:val="single" w:sz="4" w:space="0" w:color="auto"/>
            </w:tcBorders>
            <w:vAlign w:val="bottom"/>
          </w:tcPr>
          <w:p w:rsidR="004E3D74" w:rsidRPr="00200295" w:rsidP="004E3D74" w14:paraId="0032CF60" w14:textId="77777777">
            <w:pPr>
              <w:keepNext/>
              <w:keepLines/>
              <w:spacing w:after="120"/>
              <w:jc w:val="center"/>
              <w:rPr>
                <w:rFonts w:cs="Times New Roman"/>
                <w:color w:val="000000"/>
                <w:kern w:val="0"/>
              </w:rPr>
            </w:pPr>
            <w:r w:rsidRPr="00200295">
              <w:rPr>
                <w:rFonts w:cs="Times New Roman"/>
                <w:color w:val="000000"/>
                <w:kern w:val="0"/>
              </w:rPr>
              <w:t>2</w:t>
            </w:r>
            <w:r w:rsidRPr="00200295" w:rsidR="0056130D">
              <w:rPr>
                <w:rFonts w:cs="Times New Roman"/>
                <w:color w:val="000000"/>
                <w:kern w:val="0"/>
              </w:rPr>
              <w:t>33</w:t>
            </w:r>
            <w:r w:rsidRPr="00200295" w:rsidR="00A0359E">
              <w:rPr>
                <w:rFonts w:cs="Times New Roman"/>
                <w:color w:val="000000"/>
                <w:kern w:val="0"/>
              </w:rPr>
              <w:t>4</w:t>
            </w:r>
          </w:p>
        </w:tc>
        <w:tc>
          <w:tcPr>
            <w:tcW w:w="1420" w:type="dxa"/>
            <w:tcBorders>
              <w:top w:val="nil"/>
              <w:left w:val="single" w:sz="4" w:space="0" w:color="auto"/>
              <w:bottom w:val="single" w:sz="4" w:space="0" w:color="auto"/>
              <w:right w:val="single" w:sz="4" w:space="0" w:color="auto"/>
            </w:tcBorders>
            <w:vAlign w:val="bottom"/>
          </w:tcPr>
          <w:p w:rsidR="004E3D74" w:rsidRPr="00200295" w:rsidP="004E3D74" w14:paraId="384A50C5" w14:textId="77777777">
            <w:pPr>
              <w:keepNext/>
              <w:keepLines/>
              <w:spacing w:after="120"/>
              <w:jc w:val="center"/>
              <w:rPr>
                <w:rFonts w:cs="Times New Roman"/>
                <w:color w:val="000000"/>
                <w:kern w:val="0"/>
              </w:rPr>
            </w:pPr>
            <w:r w:rsidRPr="00200295">
              <w:rPr>
                <w:rFonts w:cs="Times New Roman"/>
                <w:color w:val="000000"/>
                <w:kern w:val="0"/>
              </w:rPr>
              <w:t>8</w:t>
            </w:r>
            <w:r w:rsidRPr="00200295" w:rsidR="0056130D">
              <w:rPr>
                <w:rFonts w:cs="Times New Roman"/>
                <w:color w:val="000000"/>
                <w:kern w:val="0"/>
              </w:rPr>
              <w:t>9</w:t>
            </w:r>
            <w:r w:rsidRPr="00200295">
              <w:rPr>
                <w:rFonts w:cs="Times New Roman"/>
                <w:color w:val="000000"/>
                <w:kern w:val="0"/>
              </w:rPr>
              <w:t>.</w:t>
            </w:r>
            <w:r w:rsidRPr="00200295" w:rsidR="0056130D">
              <w:rPr>
                <w:rFonts w:cs="Times New Roman"/>
                <w:color w:val="000000"/>
                <w:kern w:val="0"/>
              </w:rPr>
              <w:t>5</w:t>
            </w:r>
            <w:r w:rsidRPr="00200295">
              <w:rPr>
                <w:rFonts w:cs="Times New Roman"/>
                <w:color w:val="000000"/>
                <w:kern w:val="0"/>
              </w:rPr>
              <w:t>%</w:t>
            </w:r>
          </w:p>
        </w:tc>
        <w:tc>
          <w:tcPr>
            <w:tcW w:w="1419" w:type="dxa"/>
            <w:tcBorders>
              <w:top w:val="nil"/>
              <w:left w:val="single" w:sz="4" w:space="0" w:color="auto"/>
              <w:bottom w:val="single" w:sz="4" w:space="0" w:color="auto"/>
              <w:right w:val="single" w:sz="4" w:space="0" w:color="auto"/>
            </w:tcBorders>
            <w:vAlign w:val="bottom"/>
          </w:tcPr>
          <w:p w:rsidR="004E3D74" w:rsidRPr="00200295" w:rsidP="004E3D74" w14:paraId="16096691" w14:textId="77777777">
            <w:pPr>
              <w:keepNext/>
              <w:keepLines/>
              <w:spacing w:after="120"/>
              <w:jc w:val="center"/>
              <w:rPr>
                <w:rFonts w:cs="Times New Roman"/>
                <w:color w:val="000000"/>
                <w:kern w:val="0"/>
              </w:rPr>
            </w:pPr>
            <w:r w:rsidRPr="00200295">
              <w:rPr>
                <w:rFonts w:cs="Times New Roman"/>
                <w:color w:val="000000"/>
                <w:kern w:val="0"/>
              </w:rPr>
              <w:t>22</w:t>
            </w:r>
            <w:r w:rsidRPr="00200295" w:rsidR="0056130D">
              <w:rPr>
                <w:rFonts w:cs="Times New Roman"/>
                <w:color w:val="000000"/>
                <w:kern w:val="0"/>
              </w:rPr>
              <w:t>02</w:t>
            </w:r>
          </w:p>
        </w:tc>
        <w:tc>
          <w:tcPr>
            <w:tcW w:w="1420" w:type="dxa"/>
            <w:tcBorders>
              <w:top w:val="nil"/>
              <w:left w:val="single" w:sz="4" w:space="0" w:color="auto"/>
              <w:bottom w:val="single" w:sz="4" w:space="0" w:color="auto"/>
              <w:right w:val="single" w:sz="4" w:space="0" w:color="auto"/>
            </w:tcBorders>
            <w:vAlign w:val="bottom"/>
          </w:tcPr>
          <w:p w:rsidR="004E3D74" w:rsidRPr="00200295" w:rsidP="004E3D74" w14:paraId="01B0981B" w14:textId="77777777">
            <w:pPr>
              <w:keepNext/>
              <w:keepLines/>
              <w:spacing w:after="120"/>
              <w:jc w:val="center"/>
              <w:rPr>
                <w:rFonts w:cs="Times New Roman"/>
                <w:color w:val="000000"/>
                <w:kern w:val="0"/>
              </w:rPr>
            </w:pPr>
            <w:r w:rsidRPr="00200295">
              <w:rPr>
                <w:rFonts w:cs="Times New Roman"/>
                <w:color w:val="000000"/>
                <w:kern w:val="0"/>
              </w:rPr>
              <w:t>8</w:t>
            </w:r>
            <w:r w:rsidRPr="00200295" w:rsidR="0056130D">
              <w:rPr>
                <w:rFonts w:cs="Times New Roman"/>
                <w:color w:val="000000"/>
                <w:kern w:val="0"/>
              </w:rPr>
              <w:t>4</w:t>
            </w:r>
            <w:r w:rsidRPr="00200295" w:rsidR="00A91CE5">
              <w:rPr>
                <w:rFonts w:cs="Times New Roman"/>
                <w:color w:val="000000"/>
                <w:kern w:val="0"/>
              </w:rPr>
              <w:t>.</w:t>
            </w:r>
            <w:r w:rsidRPr="00200295">
              <w:rPr>
                <w:rFonts w:cs="Times New Roman"/>
                <w:color w:val="000000"/>
                <w:kern w:val="0"/>
              </w:rPr>
              <w:t>5%</w:t>
            </w:r>
          </w:p>
        </w:tc>
      </w:tr>
      <w:tr w14:paraId="52055C7C" w14:textId="77777777" w:rsidTr="00085542">
        <w:tblPrEx>
          <w:tblW w:w="9360" w:type="dxa"/>
          <w:tblInd w:w="93" w:type="dxa"/>
          <w:tblLayout w:type="fixed"/>
          <w:tblLook w:val="0000"/>
        </w:tblPrEx>
        <w:trPr>
          <w:trHeight w:val="253"/>
        </w:trPr>
        <w:tc>
          <w:tcPr>
            <w:tcW w:w="1763" w:type="dxa"/>
            <w:tcBorders>
              <w:top w:val="nil"/>
              <w:left w:val="single" w:sz="4" w:space="0" w:color="auto"/>
              <w:bottom w:val="single" w:sz="4" w:space="0" w:color="auto"/>
              <w:right w:val="single" w:sz="4" w:space="0" w:color="auto"/>
            </w:tcBorders>
            <w:vAlign w:val="bottom"/>
          </w:tcPr>
          <w:p w:rsidR="004E3D74" w:rsidRPr="00341818" w:rsidP="004E3D74" w14:paraId="05C01BB8" w14:textId="77777777">
            <w:pPr>
              <w:spacing w:after="120"/>
              <w:jc w:val="right"/>
              <w:rPr>
                <w:rFonts w:cs="Times New Roman"/>
                <w:color w:val="000000"/>
                <w:kern w:val="0"/>
              </w:rPr>
            </w:pPr>
            <w:r w:rsidRPr="005B7CDC">
              <w:rPr>
                <w:rFonts w:cs="Times New Roman"/>
                <w:color w:val="000000"/>
                <w:kern w:val="0"/>
              </w:rPr>
              <w:t>LPTV Broadcasters</w:t>
            </w:r>
          </w:p>
        </w:tc>
        <w:tc>
          <w:tcPr>
            <w:tcW w:w="1919" w:type="dxa"/>
            <w:tcBorders>
              <w:top w:val="nil"/>
              <w:left w:val="single" w:sz="4" w:space="0" w:color="auto"/>
              <w:bottom w:val="single" w:sz="4" w:space="0" w:color="auto"/>
              <w:right w:val="single" w:sz="4" w:space="0" w:color="auto"/>
            </w:tcBorders>
            <w:vAlign w:val="bottom"/>
          </w:tcPr>
          <w:p w:rsidR="004E3D74" w:rsidRPr="00200295" w:rsidP="004E3D74" w14:paraId="35F41313" w14:textId="77777777">
            <w:pPr>
              <w:spacing w:after="120"/>
              <w:jc w:val="center"/>
              <w:rPr>
                <w:rFonts w:cs="Times New Roman"/>
                <w:color w:val="000000"/>
                <w:kern w:val="0"/>
              </w:rPr>
            </w:pPr>
            <w:r w:rsidRPr="00200295">
              <w:rPr>
                <w:rFonts w:cs="Times New Roman"/>
                <w:color w:val="000000"/>
                <w:kern w:val="0"/>
              </w:rPr>
              <w:t>782</w:t>
            </w:r>
          </w:p>
        </w:tc>
        <w:tc>
          <w:tcPr>
            <w:tcW w:w="1419" w:type="dxa"/>
            <w:tcBorders>
              <w:top w:val="nil"/>
              <w:left w:val="single" w:sz="4" w:space="0" w:color="auto"/>
              <w:bottom w:val="single" w:sz="4" w:space="0" w:color="auto"/>
              <w:right w:val="single" w:sz="4" w:space="0" w:color="auto"/>
            </w:tcBorders>
            <w:vAlign w:val="bottom"/>
          </w:tcPr>
          <w:p w:rsidR="004E3D74" w:rsidRPr="00200295" w:rsidP="004E3D74" w14:paraId="6F8C8057" w14:textId="77777777">
            <w:pPr>
              <w:spacing w:after="120"/>
              <w:jc w:val="center"/>
              <w:rPr>
                <w:rFonts w:cs="Times New Roman"/>
                <w:color w:val="000000"/>
                <w:kern w:val="0"/>
              </w:rPr>
            </w:pPr>
            <w:r w:rsidRPr="00200295">
              <w:rPr>
                <w:rFonts w:cs="Times New Roman"/>
                <w:color w:val="000000"/>
                <w:kern w:val="0"/>
              </w:rPr>
              <w:t>559</w:t>
            </w:r>
          </w:p>
        </w:tc>
        <w:tc>
          <w:tcPr>
            <w:tcW w:w="1420" w:type="dxa"/>
            <w:tcBorders>
              <w:top w:val="nil"/>
              <w:left w:val="single" w:sz="4" w:space="0" w:color="auto"/>
              <w:bottom w:val="single" w:sz="4" w:space="0" w:color="auto"/>
              <w:right w:val="single" w:sz="4" w:space="0" w:color="auto"/>
            </w:tcBorders>
            <w:vAlign w:val="bottom"/>
          </w:tcPr>
          <w:p w:rsidR="004E3D74" w:rsidRPr="00200295" w:rsidP="004E3D74" w14:paraId="7C246B89" w14:textId="77777777">
            <w:pPr>
              <w:spacing w:after="120"/>
              <w:jc w:val="center"/>
              <w:rPr>
                <w:rFonts w:cs="Times New Roman"/>
                <w:color w:val="000000"/>
                <w:kern w:val="0"/>
              </w:rPr>
            </w:pPr>
            <w:r w:rsidRPr="00200295">
              <w:rPr>
                <w:rFonts w:cs="Times New Roman"/>
                <w:color w:val="000000"/>
                <w:kern w:val="0"/>
              </w:rPr>
              <w:t>7</w:t>
            </w:r>
            <w:r w:rsidRPr="00200295" w:rsidR="00200295">
              <w:rPr>
                <w:rFonts w:cs="Times New Roman"/>
                <w:color w:val="000000"/>
                <w:kern w:val="0"/>
              </w:rPr>
              <w:t>1.5</w:t>
            </w:r>
            <w:r w:rsidRPr="00200295">
              <w:rPr>
                <w:rFonts w:cs="Times New Roman"/>
                <w:color w:val="000000"/>
                <w:kern w:val="0"/>
              </w:rPr>
              <w:t>%</w:t>
            </w:r>
          </w:p>
        </w:tc>
        <w:tc>
          <w:tcPr>
            <w:tcW w:w="1419" w:type="dxa"/>
            <w:tcBorders>
              <w:top w:val="nil"/>
              <w:left w:val="single" w:sz="4" w:space="0" w:color="auto"/>
              <w:bottom w:val="single" w:sz="4" w:space="0" w:color="auto"/>
              <w:right w:val="single" w:sz="4" w:space="0" w:color="auto"/>
            </w:tcBorders>
            <w:vAlign w:val="bottom"/>
          </w:tcPr>
          <w:p w:rsidR="004E3D74" w:rsidRPr="00200295" w:rsidP="004E3D74" w14:paraId="1C3E5032" w14:textId="77777777">
            <w:pPr>
              <w:spacing w:after="120"/>
              <w:jc w:val="center"/>
              <w:rPr>
                <w:rFonts w:cs="Times New Roman"/>
                <w:color w:val="000000"/>
                <w:kern w:val="0"/>
              </w:rPr>
            </w:pPr>
            <w:r w:rsidRPr="00200295">
              <w:rPr>
                <w:rFonts w:cs="Times New Roman"/>
                <w:color w:val="000000"/>
                <w:kern w:val="0"/>
              </w:rPr>
              <w:t>526</w:t>
            </w:r>
          </w:p>
        </w:tc>
        <w:tc>
          <w:tcPr>
            <w:tcW w:w="1420" w:type="dxa"/>
            <w:tcBorders>
              <w:top w:val="nil"/>
              <w:left w:val="single" w:sz="4" w:space="0" w:color="auto"/>
              <w:bottom w:val="single" w:sz="4" w:space="0" w:color="auto"/>
              <w:right w:val="single" w:sz="4" w:space="0" w:color="auto"/>
            </w:tcBorders>
            <w:vAlign w:val="bottom"/>
          </w:tcPr>
          <w:p w:rsidR="004E3D74" w:rsidRPr="00200295" w:rsidP="004E3D74" w14:paraId="1D975785" w14:textId="77777777">
            <w:pPr>
              <w:spacing w:after="120"/>
              <w:jc w:val="center"/>
              <w:rPr>
                <w:rFonts w:cs="Times New Roman"/>
                <w:color w:val="000000"/>
                <w:kern w:val="0"/>
              </w:rPr>
            </w:pPr>
            <w:r w:rsidRPr="00200295">
              <w:rPr>
                <w:rFonts w:cs="Times New Roman"/>
                <w:color w:val="000000"/>
                <w:kern w:val="0"/>
              </w:rPr>
              <w:t>67.3</w:t>
            </w:r>
            <w:r w:rsidRPr="00200295" w:rsidR="00033051">
              <w:rPr>
                <w:rFonts w:cs="Times New Roman"/>
                <w:color w:val="000000"/>
                <w:kern w:val="0"/>
              </w:rPr>
              <w:t>%</w:t>
            </w:r>
          </w:p>
        </w:tc>
      </w:tr>
    </w:tbl>
    <w:p w:rsidR="004E3D74" w:rsidRPr="00B57342" w:rsidP="004E3D74" w14:paraId="32B9F2B7" w14:textId="77777777">
      <w:pPr>
        <w:pStyle w:val="ParaNum"/>
        <w:numPr>
          <w:ilvl w:val="0"/>
          <w:numId w:val="0"/>
        </w:numPr>
        <w:rPr>
          <w:rFonts w:cs="Times New Roman"/>
          <w:szCs w:val="22"/>
        </w:rPr>
      </w:pPr>
    </w:p>
    <w:p w:rsidR="004E3D74" w:rsidRPr="00B57342" w:rsidP="00A0777D" w14:paraId="22A11F03" w14:textId="77777777">
      <w:pPr>
        <w:pStyle w:val="Heading2"/>
      </w:pPr>
      <w:bookmarkStart w:id="160" w:name="_Toc477433272"/>
      <w:bookmarkStart w:id="161" w:name="_Toc479002016"/>
      <w:bookmarkStart w:id="162" w:name="_Toc477433471"/>
      <w:bookmarkStart w:id="163" w:name="_Toc507169468"/>
      <w:bookmarkStart w:id="164" w:name="_Toc507169597"/>
      <w:bookmarkStart w:id="165" w:name="_Toc507169922"/>
      <w:bookmarkStart w:id="166" w:name="_Toc507170358"/>
      <w:bookmarkStart w:id="167" w:name="_Toc507170704"/>
      <w:bookmarkStart w:id="168" w:name="_Toc507171300"/>
      <w:bookmarkStart w:id="169" w:name="_Toc507171661"/>
      <w:bookmarkStart w:id="170" w:name="_Toc507772323"/>
      <w:bookmarkStart w:id="171" w:name="_Toc507772710"/>
      <w:bookmarkStart w:id="172" w:name="_Toc508315396"/>
      <w:bookmarkStart w:id="173" w:name="_Toc508315983"/>
      <w:bookmarkStart w:id="174" w:name="_Toc511290795"/>
      <w:bookmarkStart w:id="175" w:name="_Toc511291587"/>
      <w:bookmarkStart w:id="176" w:name="_Toc5614037"/>
      <w:r w:rsidRPr="00B57342">
        <w:t>Source of Alert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E3D74" w:rsidP="009155CF" w14:paraId="1A2F8956" w14:textId="68E10E04">
      <w:pPr>
        <w:pStyle w:val="ParaNum"/>
        <w:numPr>
          <w:ilvl w:val="0"/>
          <w:numId w:val="0"/>
        </w:numPr>
        <w:spacing w:before="120" w:after="0"/>
        <w:contextualSpacing/>
        <w:rPr>
          <w:rFonts w:cs="Times New Roman"/>
          <w:b/>
        </w:rPr>
      </w:pPr>
      <w:r w:rsidRPr="005B7CDC">
        <w:rPr>
          <w:rFonts w:cs="Times New Roman"/>
        </w:rPr>
        <w:t xml:space="preserve">On ETRS Form Three, EAS Participants identified the first source from which they received the test alert.  </w:t>
      </w:r>
      <w:r w:rsidRPr="009155CF">
        <w:rPr>
          <w:rFonts w:cs="Times New Roman"/>
          <w:b/>
        </w:rPr>
        <w:t xml:space="preserve">Table </w:t>
      </w:r>
      <w:r w:rsidR="00835149">
        <w:rPr>
          <w:rFonts w:cs="Times New Roman"/>
          <w:b/>
        </w:rPr>
        <w:t>8</w:t>
      </w:r>
      <w:r w:rsidRPr="005B7CDC">
        <w:rPr>
          <w:rFonts w:cs="Times New Roman"/>
        </w:rPr>
        <w:t xml:space="preserve"> compares the sources from which the different types of test participants received the test alert.  </w:t>
      </w:r>
      <w:r w:rsidR="00805626">
        <w:rPr>
          <w:rFonts w:cs="Times New Roman"/>
        </w:rPr>
        <w:t>A majority (58.7%)</w:t>
      </w:r>
      <w:r w:rsidRPr="005B7CDC">
        <w:rPr>
          <w:rFonts w:cs="Times New Roman"/>
        </w:rPr>
        <w:t xml:space="preserve"> of test participants </w:t>
      </w:r>
      <w:r w:rsidR="00CB2E02">
        <w:rPr>
          <w:rFonts w:cs="Times New Roman"/>
        </w:rPr>
        <w:t xml:space="preserve">reported to have </w:t>
      </w:r>
      <w:r w:rsidRPr="005B7CDC">
        <w:rPr>
          <w:rFonts w:cs="Times New Roman"/>
        </w:rPr>
        <w:t xml:space="preserve">first received the alert </w:t>
      </w:r>
      <w:r w:rsidR="00CB2E02">
        <w:rPr>
          <w:rFonts w:cs="Times New Roman"/>
        </w:rPr>
        <w:t xml:space="preserve">from IPAWS </w:t>
      </w:r>
      <w:r w:rsidRPr="005B7CDC">
        <w:rPr>
          <w:rFonts w:cs="Times New Roman"/>
        </w:rPr>
        <w:t xml:space="preserve">and a minority </w:t>
      </w:r>
      <w:r w:rsidRPr="00341818">
        <w:rPr>
          <w:rFonts w:cs="Times New Roman"/>
        </w:rPr>
        <w:t>(</w:t>
      </w:r>
      <w:r w:rsidR="00014AE4">
        <w:rPr>
          <w:rFonts w:cs="Times New Roman"/>
        </w:rPr>
        <w:t>41.</w:t>
      </w:r>
      <w:r w:rsidR="00CB2E02">
        <w:rPr>
          <w:rFonts w:cs="Times New Roman"/>
        </w:rPr>
        <w:t>3</w:t>
      </w:r>
      <w:r w:rsidRPr="00341818">
        <w:rPr>
          <w:rFonts w:cs="Times New Roman"/>
        </w:rPr>
        <w:t xml:space="preserve">%) first received the alert </w:t>
      </w:r>
      <w:r w:rsidR="00CB2E02">
        <w:rPr>
          <w:rFonts w:cs="Times New Roman"/>
        </w:rPr>
        <w:t>over-the-air</w:t>
      </w:r>
      <w:r w:rsidR="001E7EA4">
        <w:rPr>
          <w:rFonts w:cs="Times New Roman"/>
        </w:rPr>
        <w:t xml:space="preserve">.  </w:t>
      </w:r>
      <w:r w:rsidR="00CB2E02">
        <w:rPr>
          <w:rFonts w:cs="Times New Roman"/>
        </w:rPr>
        <w:t xml:space="preserve">This represents the first time </w:t>
      </w:r>
      <w:r w:rsidR="00110E90">
        <w:rPr>
          <w:rFonts w:cs="Times New Roman"/>
        </w:rPr>
        <w:t xml:space="preserve">during a nationwide EAS test </w:t>
      </w:r>
      <w:r w:rsidR="005D73A8">
        <w:rPr>
          <w:rFonts w:cs="Times New Roman"/>
        </w:rPr>
        <w:t xml:space="preserve">that </w:t>
      </w:r>
      <w:r w:rsidR="00CB2E02">
        <w:rPr>
          <w:rFonts w:cs="Times New Roman"/>
        </w:rPr>
        <w:t>the majority of EAS Participants first received the alert through IPAWS.</w:t>
      </w:r>
      <w:r>
        <w:rPr>
          <w:rStyle w:val="FootnoteReference"/>
        </w:rPr>
        <w:footnoteReference w:id="73"/>
      </w:r>
      <w:r w:rsidR="00CB2E02">
        <w:rPr>
          <w:rFonts w:cs="Times New Roman"/>
        </w:rPr>
        <w:t xml:space="preserve">  </w:t>
      </w:r>
      <w:r w:rsidRPr="005B7CDC">
        <w:rPr>
          <w:rFonts w:cs="Times New Roman"/>
        </w:rPr>
        <w:t xml:space="preserve">IPTV providers </w:t>
      </w:r>
      <w:r w:rsidRPr="005B7CDC" w:rsidR="00F2763B">
        <w:rPr>
          <w:rFonts w:cs="Times New Roman"/>
        </w:rPr>
        <w:t xml:space="preserve">reportedly </w:t>
      </w:r>
      <w:r w:rsidRPr="00FE7494">
        <w:rPr>
          <w:rFonts w:cs="Times New Roman"/>
        </w:rPr>
        <w:t xml:space="preserve">first received the alert via IPAWS </w:t>
      </w:r>
      <w:r w:rsidRPr="006001AF" w:rsidR="00F2763B">
        <w:rPr>
          <w:rFonts w:cs="Times New Roman"/>
        </w:rPr>
        <w:t xml:space="preserve">more </w:t>
      </w:r>
      <w:r w:rsidRPr="00341818">
        <w:rPr>
          <w:rFonts w:cs="Times New Roman"/>
        </w:rPr>
        <w:t>frequently than other participant types (</w:t>
      </w:r>
      <w:r w:rsidR="001E7EA4">
        <w:rPr>
          <w:rFonts w:cs="Times New Roman"/>
        </w:rPr>
        <w:t>73.6</w:t>
      </w:r>
      <w:r w:rsidRPr="00341818">
        <w:rPr>
          <w:rFonts w:cs="Times New Roman"/>
        </w:rPr>
        <w:t>%).</w:t>
      </w:r>
      <w:r w:rsidR="002E5326">
        <w:rPr>
          <w:rFonts w:cs="Times New Roman"/>
        </w:rPr>
        <w:t xml:space="preserve">  </w:t>
      </w:r>
    </w:p>
    <w:p w:rsidR="00835149" w:rsidRPr="002E5326" w:rsidP="009155CF" w14:paraId="0837EA3A" w14:textId="77777777">
      <w:pPr>
        <w:pStyle w:val="ParaNum"/>
        <w:numPr>
          <w:ilvl w:val="0"/>
          <w:numId w:val="0"/>
        </w:numPr>
        <w:spacing w:before="120" w:after="0"/>
        <w:contextualSpacing/>
        <w:rPr>
          <w:rFonts w:cs="Times New Roman"/>
        </w:rPr>
      </w:pPr>
    </w:p>
    <w:p w:rsidR="004E3D74" w:rsidRPr="00785A17" w:rsidP="004E3D74" w14:paraId="2CB47A84" w14:textId="76482B83">
      <w:pPr>
        <w:pStyle w:val="ParaNum"/>
        <w:keepNext/>
        <w:keepLines/>
        <w:numPr>
          <w:ilvl w:val="0"/>
          <w:numId w:val="0"/>
        </w:numPr>
        <w:rPr>
          <w:rFonts w:cs="Times New Roman"/>
          <w:b/>
        </w:rPr>
      </w:pPr>
      <w:r w:rsidRPr="00785A17">
        <w:rPr>
          <w:rFonts w:cs="Times New Roman"/>
          <w:b/>
        </w:rPr>
        <w:t xml:space="preserve">Table </w:t>
      </w:r>
      <w:r w:rsidR="00835149">
        <w:rPr>
          <w:rFonts w:cs="Times New Roman"/>
          <w:b/>
        </w:rPr>
        <w:t>8</w:t>
      </w:r>
      <w:r w:rsidRPr="00785A17">
        <w:rPr>
          <w:rFonts w:cs="Times New Roman"/>
          <w:b/>
        </w:rPr>
        <w:t>. Source of Alert by Participant Type</w:t>
      </w:r>
    </w:p>
    <w:tbl>
      <w:tblPr>
        <w:tblW w:w="9360" w:type="dxa"/>
        <w:tblInd w:w="93" w:type="dxa"/>
        <w:tblLayout w:type="fixed"/>
        <w:tblLook w:val="0000"/>
      </w:tblPr>
      <w:tblGrid>
        <w:gridCol w:w="2242"/>
        <w:gridCol w:w="1986"/>
        <w:gridCol w:w="1283"/>
        <w:gridCol w:w="1283"/>
        <w:gridCol w:w="1283"/>
        <w:gridCol w:w="1283"/>
      </w:tblGrid>
      <w:tr w14:paraId="7EED68E4" w14:textId="77777777" w:rsidTr="00AF156C">
        <w:tblPrEx>
          <w:tblW w:w="9360" w:type="dxa"/>
          <w:tblInd w:w="93" w:type="dxa"/>
          <w:tblLayout w:type="fixed"/>
          <w:tblLook w:val="0000"/>
        </w:tblPrEx>
        <w:trPr>
          <w:trHeight w:val="467"/>
        </w:trPr>
        <w:tc>
          <w:tcPr>
            <w:tcW w:w="2242" w:type="dxa"/>
            <w:vMerge w:val="restart"/>
            <w:tcBorders>
              <w:top w:val="single" w:sz="4" w:space="0" w:color="auto"/>
              <w:left w:val="single" w:sz="4" w:space="0" w:color="auto"/>
              <w:right w:val="single" w:sz="4" w:space="0" w:color="auto"/>
            </w:tcBorders>
            <w:shd w:val="clear" w:color="auto" w:fill="C0C0C0"/>
            <w:noWrap/>
            <w:vAlign w:val="bottom"/>
          </w:tcPr>
          <w:p w:rsidR="004D741B" w:rsidRPr="00085542" w:rsidP="00AF156C" w14:paraId="22CCDE5D" w14:textId="77777777">
            <w:pPr>
              <w:keepNext/>
              <w:keepLines/>
              <w:spacing w:after="120"/>
              <w:jc w:val="center"/>
              <w:rPr>
                <w:rFonts w:cs="Times New Roman"/>
                <w:b/>
                <w:color w:val="000000"/>
                <w:kern w:val="0"/>
              </w:rPr>
            </w:pPr>
            <w:bookmarkStart w:id="177" w:name="_Toc507171662"/>
            <w:bookmarkStart w:id="178" w:name="_Toc511290797"/>
            <w:bookmarkStart w:id="179" w:name="_Toc511291589"/>
            <w:bookmarkStart w:id="180" w:name="_Toc511290798"/>
            <w:bookmarkStart w:id="181" w:name="_Toc511291590"/>
            <w:bookmarkStart w:id="182" w:name="_Toc511290799"/>
            <w:bookmarkStart w:id="183" w:name="_Toc511291591"/>
            <w:bookmarkStart w:id="184" w:name="_Toc511290800"/>
            <w:bookmarkStart w:id="185" w:name="_Toc511291592"/>
            <w:bookmarkStart w:id="186" w:name="_Toc511290806"/>
            <w:bookmarkStart w:id="187" w:name="_Toc511291598"/>
            <w:bookmarkStart w:id="188" w:name="_Toc511290932"/>
            <w:bookmarkStart w:id="189" w:name="_Toc511291724"/>
            <w:bookmarkStart w:id="190" w:name="_Toc511290933"/>
            <w:bookmarkStart w:id="191" w:name="_Toc511291725"/>
            <w:bookmarkStart w:id="192" w:name="_Toc511290962"/>
            <w:bookmarkStart w:id="193" w:name="_Toc511291754"/>
            <w:bookmarkStart w:id="194" w:name="_Toc511290965"/>
            <w:bookmarkStart w:id="195" w:name="_Toc511291757"/>
            <w:bookmarkStart w:id="196" w:name="_Toc511290971"/>
            <w:bookmarkStart w:id="197" w:name="_Toc511291763"/>
            <w:bookmarkStart w:id="198" w:name="_Toc511291095"/>
            <w:bookmarkStart w:id="199" w:name="_Toc511291887"/>
            <w:bookmarkStart w:id="200" w:name="_Toc511291097"/>
            <w:bookmarkStart w:id="201" w:name="_Toc511291889"/>
            <w:bookmarkStart w:id="202" w:name="_Toc511291099"/>
            <w:bookmarkStart w:id="203" w:name="_Toc511291891"/>
            <w:bookmarkStart w:id="204" w:name="_Toc511291101"/>
            <w:bookmarkStart w:id="205" w:name="_Toc511291893"/>
            <w:bookmarkStart w:id="206" w:name="_Toc511291102"/>
            <w:bookmarkStart w:id="207" w:name="_Toc511291894"/>
            <w:bookmarkStart w:id="208" w:name="_Toc511291104"/>
            <w:bookmarkStart w:id="209" w:name="_Toc511291896"/>
            <w:bookmarkStart w:id="210" w:name="_Toc511291105"/>
            <w:bookmarkStart w:id="211" w:name="_Toc511291897"/>
            <w:bookmarkStart w:id="212" w:name="_Toc511291108"/>
            <w:bookmarkStart w:id="213" w:name="_Toc511291900"/>
            <w:bookmarkStart w:id="214" w:name="_Toc511291111"/>
            <w:bookmarkStart w:id="215" w:name="_Toc511291903"/>
            <w:bookmarkStart w:id="216" w:name="_Toc511291113"/>
            <w:bookmarkStart w:id="217" w:name="_Toc511291905"/>
            <w:bookmarkStart w:id="218" w:name="_Toc511291115"/>
            <w:bookmarkStart w:id="219" w:name="_Toc511291907"/>
            <w:bookmarkStart w:id="220" w:name="_Toc511291116"/>
            <w:bookmarkStart w:id="221" w:name="_Toc511291908"/>
            <w:bookmarkStart w:id="222" w:name="_Toc511291117"/>
            <w:bookmarkStart w:id="223" w:name="_Toc511291909"/>
            <w:bookmarkStart w:id="224" w:name="_Toc511291125"/>
            <w:bookmarkStart w:id="225" w:name="_Toc511291917"/>
            <w:bookmarkStart w:id="226" w:name="_Toc511291143"/>
            <w:bookmarkStart w:id="227" w:name="_Toc511291935"/>
            <w:bookmarkStart w:id="228" w:name="_Toc511291152"/>
            <w:bookmarkStart w:id="229" w:name="_Toc511291944"/>
            <w:bookmarkStart w:id="230" w:name="_Toc511291170"/>
            <w:bookmarkStart w:id="231" w:name="_Toc511291962"/>
            <w:bookmarkStart w:id="232" w:name="_Toc511291179"/>
            <w:bookmarkStart w:id="233" w:name="_Toc511291971"/>
            <w:bookmarkStart w:id="234" w:name="_Toc511291188"/>
            <w:bookmarkStart w:id="235" w:name="_Toc511291980"/>
            <w:bookmarkStart w:id="236" w:name="_Toc511291197"/>
            <w:bookmarkStart w:id="237" w:name="_Toc511291989"/>
            <w:bookmarkStart w:id="238" w:name="_Toc511291206"/>
            <w:bookmarkStart w:id="239" w:name="_Toc511291998"/>
            <w:bookmarkStart w:id="240" w:name="_Toc511291215"/>
            <w:bookmarkStart w:id="241" w:name="_Toc511292007"/>
            <w:bookmarkStart w:id="242" w:name="_Toc511291224"/>
            <w:bookmarkStart w:id="243" w:name="_Toc511292016"/>
            <w:bookmarkStart w:id="244" w:name="_Toc511291233"/>
            <w:bookmarkStart w:id="245" w:name="_Toc511292025"/>
            <w:bookmarkStart w:id="246" w:name="_Toc511291242"/>
            <w:bookmarkStart w:id="247" w:name="_Toc511292034"/>
            <w:bookmarkStart w:id="248" w:name="_Toc511291251"/>
            <w:bookmarkStart w:id="249" w:name="_Toc511292043"/>
            <w:bookmarkStart w:id="250" w:name="_Toc511291260"/>
            <w:bookmarkStart w:id="251" w:name="_Toc511292052"/>
            <w:bookmarkStart w:id="252" w:name="_Toc511291269"/>
            <w:bookmarkStart w:id="253" w:name="_Toc511292061"/>
            <w:bookmarkStart w:id="254" w:name="_Toc511291270"/>
            <w:bookmarkStart w:id="255" w:name="_Toc511292062"/>
            <w:bookmarkStart w:id="256" w:name="_Toc511291278"/>
            <w:bookmarkStart w:id="257" w:name="_Toc511292070"/>
            <w:bookmarkStart w:id="258" w:name="_Toc511291296"/>
            <w:bookmarkStart w:id="259" w:name="_Toc511292088"/>
            <w:bookmarkStart w:id="260" w:name="_Toc511291305"/>
            <w:bookmarkStart w:id="261" w:name="_Toc511292097"/>
            <w:bookmarkStart w:id="262" w:name="_Toc511291314"/>
            <w:bookmarkStart w:id="263" w:name="_Toc511292106"/>
            <w:bookmarkStart w:id="264" w:name="_Toc511291323"/>
            <w:bookmarkStart w:id="265" w:name="_Toc511292115"/>
            <w:bookmarkStart w:id="266" w:name="_Toc511291332"/>
            <w:bookmarkStart w:id="267" w:name="_Toc511292124"/>
            <w:bookmarkStart w:id="268" w:name="_Toc511291341"/>
            <w:bookmarkStart w:id="269" w:name="_Toc511292133"/>
            <w:bookmarkStart w:id="270" w:name="_Toc511291350"/>
            <w:bookmarkStart w:id="271" w:name="_Toc511292142"/>
            <w:bookmarkStart w:id="272" w:name="_Toc511291359"/>
            <w:bookmarkStart w:id="273" w:name="_Toc511292151"/>
            <w:bookmarkStart w:id="274" w:name="_Toc511291368"/>
            <w:bookmarkStart w:id="275" w:name="_Toc511292160"/>
            <w:bookmarkStart w:id="276" w:name="_Toc511291377"/>
            <w:bookmarkStart w:id="277" w:name="_Toc511292169"/>
            <w:bookmarkStart w:id="278" w:name="_Toc511291386"/>
            <w:bookmarkStart w:id="279" w:name="_Toc511292178"/>
            <w:bookmarkStart w:id="280" w:name="_Toc511291395"/>
            <w:bookmarkStart w:id="281" w:name="_Toc511292187"/>
            <w:bookmarkStart w:id="282" w:name="_Toc511291404"/>
            <w:bookmarkStart w:id="283" w:name="_Toc511292196"/>
            <w:bookmarkStart w:id="284" w:name="_Toc511291413"/>
            <w:bookmarkStart w:id="285" w:name="_Toc511292205"/>
            <w:bookmarkStart w:id="286" w:name="_Toc511291422"/>
            <w:bookmarkStart w:id="287" w:name="_Toc511292214"/>
            <w:bookmarkStart w:id="288" w:name="_Toc511291423"/>
            <w:bookmarkStart w:id="289" w:name="_Toc511292215"/>
            <w:bookmarkStart w:id="290" w:name="_Toc511291431"/>
            <w:bookmarkStart w:id="291" w:name="_Toc511292223"/>
            <w:bookmarkStart w:id="292" w:name="_Toc511291449"/>
            <w:bookmarkStart w:id="293" w:name="_Toc511292241"/>
            <w:bookmarkStart w:id="294" w:name="_Toc511291458"/>
            <w:bookmarkStart w:id="295" w:name="_Toc511292250"/>
            <w:bookmarkStart w:id="296" w:name="_Toc511291467"/>
            <w:bookmarkStart w:id="297" w:name="_Toc511292259"/>
            <w:bookmarkStart w:id="298" w:name="_Toc511291476"/>
            <w:bookmarkStart w:id="299" w:name="_Toc511292268"/>
            <w:bookmarkStart w:id="300" w:name="_Toc511291485"/>
            <w:bookmarkStart w:id="301" w:name="_Toc511292277"/>
            <w:bookmarkStart w:id="302" w:name="_Toc511291494"/>
            <w:bookmarkStart w:id="303" w:name="_Toc511292286"/>
            <w:bookmarkStart w:id="304" w:name="_Toc511291503"/>
            <w:bookmarkStart w:id="305" w:name="_Toc511292295"/>
            <w:bookmarkStart w:id="306" w:name="_Toc511291530"/>
            <w:bookmarkStart w:id="307" w:name="_Toc511292322"/>
            <w:bookmarkStart w:id="308" w:name="_Toc507171675"/>
            <w:bookmarkStart w:id="309" w:name="_Toc477433282"/>
            <w:bookmarkStart w:id="310" w:name="_Toc479002025"/>
            <w:bookmarkStart w:id="311" w:name="_Toc477433481"/>
            <w:bookmarkStart w:id="312" w:name="_Toc507169481"/>
            <w:bookmarkStart w:id="313" w:name="_Toc507169610"/>
            <w:bookmarkStart w:id="314" w:name="_Toc507169935"/>
            <w:bookmarkStart w:id="315" w:name="_Toc507170371"/>
            <w:bookmarkStart w:id="316" w:name="_Toc507170717"/>
            <w:bookmarkStart w:id="317" w:name="_Toc507171313"/>
            <w:bookmarkStart w:id="318" w:name="_Toc507171676"/>
            <w:bookmarkStart w:id="319" w:name="_Toc507772336"/>
            <w:bookmarkStart w:id="320" w:name="_Toc507772723"/>
            <w:bookmarkStart w:id="321" w:name="_Toc508315409"/>
            <w:bookmarkStart w:id="322" w:name="_Toc508315994"/>
            <w:bookmarkStart w:id="323" w:name="_Toc511291566"/>
            <w:bookmarkStart w:id="324" w:name="_Toc51129235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255FCAE1">
              <w:rPr>
                <w:rFonts w:cs="Times New Roman"/>
                <w:b/>
                <w:color w:val="000000"/>
                <w:kern w:val="0"/>
              </w:rPr>
              <w:t>EAS Participant Type</w:t>
            </w:r>
          </w:p>
        </w:tc>
        <w:tc>
          <w:tcPr>
            <w:tcW w:w="1986" w:type="dxa"/>
            <w:vMerge w:val="restart"/>
            <w:tcBorders>
              <w:top w:val="single" w:sz="4" w:space="0" w:color="auto"/>
              <w:left w:val="single" w:sz="4" w:space="0" w:color="auto"/>
              <w:right w:val="single" w:sz="4" w:space="0" w:color="auto"/>
            </w:tcBorders>
            <w:shd w:val="clear" w:color="auto" w:fill="C0C0C0"/>
            <w:vAlign w:val="bottom"/>
          </w:tcPr>
          <w:p w:rsidR="004D741B" w:rsidRPr="00085542" w:rsidP="00AF156C" w14:paraId="287B6968" w14:textId="77777777">
            <w:pPr>
              <w:keepNext/>
              <w:keepLines/>
              <w:spacing w:after="120"/>
              <w:jc w:val="center"/>
              <w:rPr>
                <w:rFonts w:cs="Times New Roman"/>
                <w:b/>
                <w:color w:val="000000"/>
                <w:kern w:val="0"/>
              </w:rPr>
            </w:pPr>
            <w:r w:rsidRPr="255FCAE1">
              <w:rPr>
                <w:rFonts w:cs="Times New Roman"/>
                <w:b/>
                <w:color w:val="000000"/>
                <w:kern w:val="0"/>
              </w:rPr>
              <w:t xml:space="preserve">Test Participants </w:t>
            </w:r>
            <w:r>
              <w:rPr>
                <w:rFonts w:cs="Times New Roman"/>
                <w:b/>
                <w:color w:val="000000"/>
                <w:kern w:val="0"/>
              </w:rPr>
              <w:t>T</w:t>
            </w:r>
            <w:r w:rsidRPr="255FCAE1">
              <w:rPr>
                <w:rFonts w:cs="Times New Roman"/>
                <w:b/>
                <w:color w:val="000000"/>
                <w:kern w:val="0"/>
              </w:rPr>
              <w:t xml:space="preserve">hat </w:t>
            </w:r>
            <w:r>
              <w:rPr>
                <w:rFonts w:cs="Times New Roman"/>
                <w:b/>
                <w:color w:val="000000"/>
                <w:kern w:val="0"/>
              </w:rPr>
              <w:t>Reported Source of</w:t>
            </w:r>
            <w:r w:rsidRPr="255FCAE1">
              <w:rPr>
                <w:rFonts w:cs="Times New Roman"/>
                <w:b/>
                <w:color w:val="000000"/>
                <w:kern w:val="0"/>
              </w:rPr>
              <w:t xml:space="preserve"> Alert</w:t>
            </w:r>
          </w:p>
        </w:tc>
        <w:tc>
          <w:tcPr>
            <w:tcW w:w="2566" w:type="dxa"/>
            <w:gridSpan w:val="2"/>
            <w:tcBorders>
              <w:top w:val="single" w:sz="4" w:space="0" w:color="auto"/>
              <w:left w:val="single" w:sz="4" w:space="0" w:color="auto"/>
              <w:right w:val="single" w:sz="4" w:space="0" w:color="auto"/>
            </w:tcBorders>
            <w:shd w:val="clear" w:color="auto" w:fill="C0C0C0"/>
            <w:vAlign w:val="bottom"/>
          </w:tcPr>
          <w:p w:rsidR="004D741B" w:rsidRPr="00085542" w:rsidP="00AF156C" w14:paraId="21878988" w14:textId="77777777">
            <w:pPr>
              <w:keepNext/>
              <w:keepLines/>
              <w:spacing w:after="120"/>
              <w:jc w:val="center"/>
              <w:rPr>
                <w:rFonts w:cs="Times New Roman"/>
                <w:b/>
                <w:color w:val="000000"/>
                <w:kern w:val="0"/>
              </w:rPr>
            </w:pPr>
            <w:r w:rsidRPr="255FCAE1">
              <w:rPr>
                <w:rFonts w:cs="Times New Roman"/>
                <w:b/>
                <w:color w:val="000000"/>
                <w:kern w:val="0"/>
              </w:rPr>
              <w:t>First Received From IPAWS</w:t>
            </w:r>
          </w:p>
        </w:tc>
        <w:tc>
          <w:tcPr>
            <w:tcW w:w="2566" w:type="dxa"/>
            <w:gridSpan w:val="2"/>
            <w:tcBorders>
              <w:top w:val="single" w:sz="4" w:space="0" w:color="auto"/>
              <w:left w:val="single" w:sz="4" w:space="0" w:color="auto"/>
              <w:right w:val="single" w:sz="4" w:space="0" w:color="auto"/>
            </w:tcBorders>
            <w:shd w:val="clear" w:color="auto" w:fill="C0C0C0"/>
            <w:vAlign w:val="bottom"/>
          </w:tcPr>
          <w:p w:rsidR="004D741B" w:rsidRPr="00085542" w:rsidP="00AF156C" w14:paraId="67B3FC92" w14:textId="77777777">
            <w:pPr>
              <w:keepNext/>
              <w:keepLines/>
              <w:spacing w:after="120"/>
              <w:jc w:val="center"/>
              <w:rPr>
                <w:rFonts w:cs="Times New Roman"/>
                <w:b/>
                <w:color w:val="000000"/>
                <w:kern w:val="0"/>
              </w:rPr>
            </w:pPr>
            <w:r w:rsidRPr="255FCAE1">
              <w:rPr>
                <w:rFonts w:cs="Times New Roman"/>
                <w:b/>
                <w:color w:val="000000"/>
                <w:kern w:val="0"/>
              </w:rPr>
              <w:t xml:space="preserve">First Received </w:t>
            </w:r>
            <w:r w:rsidRPr="00B57342">
              <w:rPr>
                <w:rFonts w:cs="Times New Roman"/>
                <w:b/>
                <w:color w:val="000000"/>
                <w:kern w:val="0"/>
                <w:szCs w:val="22"/>
              </w:rPr>
              <w:br/>
            </w:r>
            <w:r w:rsidRPr="255FCAE1">
              <w:rPr>
                <w:rFonts w:cs="Times New Roman"/>
                <w:b/>
                <w:color w:val="000000"/>
                <w:kern w:val="0"/>
              </w:rPr>
              <w:t>Over-the-Air</w:t>
            </w:r>
          </w:p>
        </w:tc>
      </w:tr>
      <w:tr w14:paraId="50082EF2" w14:textId="77777777" w:rsidTr="00AF156C">
        <w:tblPrEx>
          <w:tblW w:w="9360" w:type="dxa"/>
          <w:tblInd w:w="93" w:type="dxa"/>
          <w:tblLayout w:type="fixed"/>
          <w:tblLook w:val="0000"/>
        </w:tblPrEx>
        <w:trPr>
          <w:trHeight w:val="170"/>
        </w:trPr>
        <w:tc>
          <w:tcPr>
            <w:tcW w:w="2242" w:type="dxa"/>
            <w:vMerge/>
            <w:tcBorders>
              <w:left w:val="single" w:sz="4" w:space="0" w:color="auto"/>
              <w:right w:val="single" w:sz="4" w:space="0" w:color="auto"/>
            </w:tcBorders>
            <w:shd w:val="clear" w:color="auto" w:fill="C0C0C0"/>
            <w:noWrap/>
            <w:vAlign w:val="bottom"/>
          </w:tcPr>
          <w:p w:rsidR="004D741B" w:rsidRPr="00B57342" w:rsidP="00AF156C" w14:paraId="74DDFCB1" w14:textId="77777777">
            <w:pPr>
              <w:keepNext/>
              <w:keepLines/>
              <w:spacing w:after="120"/>
              <w:jc w:val="center"/>
              <w:rPr>
                <w:rFonts w:cs="Times New Roman"/>
                <w:b/>
                <w:color w:val="000000"/>
                <w:kern w:val="0"/>
                <w:szCs w:val="22"/>
              </w:rPr>
            </w:pPr>
          </w:p>
        </w:tc>
        <w:tc>
          <w:tcPr>
            <w:tcW w:w="1986" w:type="dxa"/>
            <w:vMerge/>
            <w:tcBorders>
              <w:left w:val="single" w:sz="4" w:space="0" w:color="auto"/>
              <w:right w:val="single" w:sz="4" w:space="0" w:color="auto"/>
            </w:tcBorders>
            <w:shd w:val="clear" w:color="auto" w:fill="C0C0C0"/>
            <w:vAlign w:val="bottom"/>
          </w:tcPr>
          <w:p w:rsidR="004D741B" w:rsidRPr="00B57342" w:rsidP="00AF156C" w14:paraId="03341AE6" w14:textId="77777777">
            <w:pPr>
              <w:keepNext/>
              <w:keepLines/>
              <w:spacing w:after="120"/>
              <w:jc w:val="center"/>
              <w:rPr>
                <w:rFonts w:cs="Times New Roman"/>
                <w:b/>
                <w:color w:val="000000"/>
                <w:kern w:val="0"/>
                <w:szCs w:val="22"/>
              </w:rPr>
            </w:pPr>
          </w:p>
        </w:tc>
        <w:tc>
          <w:tcPr>
            <w:tcW w:w="1283" w:type="dxa"/>
            <w:tcBorders>
              <w:top w:val="single" w:sz="4" w:space="0" w:color="auto"/>
              <w:left w:val="single" w:sz="4" w:space="0" w:color="auto"/>
              <w:right w:val="single" w:sz="4" w:space="0" w:color="auto"/>
            </w:tcBorders>
            <w:shd w:val="clear" w:color="auto" w:fill="C0C0C0"/>
            <w:vAlign w:val="bottom"/>
          </w:tcPr>
          <w:p w:rsidR="004D741B" w:rsidRPr="00085542" w:rsidP="00AF156C" w14:paraId="00F8A221" w14:textId="77777777">
            <w:pPr>
              <w:keepNext/>
              <w:keepLines/>
              <w:spacing w:after="120"/>
              <w:jc w:val="center"/>
              <w:rPr>
                <w:rFonts w:cs="Times New Roman"/>
                <w:b/>
                <w:color w:val="000000"/>
                <w:kern w:val="0"/>
              </w:rPr>
            </w:pPr>
            <w:r w:rsidRPr="255FCAE1">
              <w:rPr>
                <w:rFonts w:cs="Times New Roman"/>
                <w:b/>
                <w:color w:val="000000"/>
                <w:kern w:val="0"/>
              </w:rPr>
              <w:t>#</w:t>
            </w:r>
          </w:p>
        </w:tc>
        <w:tc>
          <w:tcPr>
            <w:tcW w:w="1283" w:type="dxa"/>
            <w:tcBorders>
              <w:top w:val="single" w:sz="4" w:space="0" w:color="auto"/>
              <w:left w:val="single" w:sz="4" w:space="0" w:color="auto"/>
              <w:right w:val="single" w:sz="4" w:space="0" w:color="auto"/>
            </w:tcBorders>
            <w:shd w:val="clear" w:color="auto" w:fill="C0C0C0"/>
            <w:vAlign w:val="bottom"/>
          </w:tcPr>
          <w:p w:rsidR="004D741B" w:rsidRPr="00085542" w:rsidP="00AF156C" w14:paraId="5D7084C9" w14:textId="77777777">
            <w:pPr>
              <w:keepNext/>
              <w:keepLines/>
              <w:spacing w:after="120"/>
              <w:jc w:val="center"/>
              <w:rPr>
                <w:rFonts w:cs="Times New Roman"/>
                <w:b/>
                <w:color w:val="000000"/>
                <w:kern w:val="0"/>
              </w:rPr>
            </w:pPr>
            <w:r w:rsidRPr="255FCAE1">
              <w:rPr>
                <w:rFonts w:cs="Times New Roman"/>
                <w:b/>
                <w:color w:val="000000"/>
                <w:kern w:val="0"/>
              </w:rPr>
              <w:t>%</w:t>
            </w:r>
          </w:p>
        </w:tc>
        <w:tc>
          <w:tcPr>
            <w:tcW w:w="1283" w:type="dxa"/>
            <w:tcBorders>
              <w:top w:val="single" w:sz="4" w:space="0" w:color="auto"/>
              <w:left w:val="single" w:sz="4" w:space="0" w:color="auto"/>
              <w:right w:val="single" w:sz="4" w:space="0" w:color="auto"/>
            </w:tcBorders>
            <w:shd w:val="clear" w:color="auto" w:fill="C0C0C0"/>
            <w:vAlign w:val="bottom"/>
          </w:tcPr>
          <w:p w:rsidR="004D741B" w:rsidRPr="00085542" w:rsidP="00AF156C" w14:paraId="40A2F7B8" w14:textId="77777777">
            <w:pPr>
              <w:keepNext/>
              <w:keepLines/>
              <w:spacing w:after="120"/>
              <w:jc w:val="center"/>
              <w:rPr>
                <w:rFonts w:cs="Times New Roman"/>
                <w:b/>
                <w:color w:val="000000"/>
                <w:kern w:val="0"/>
              </w:rPr>
            </w:pPr>
            <w:r w:rsidRPr="255FCAE1">
              <w:rPr>
                <w:rFonts w:cs="Times New Roman"/>
                <w:b/>
                <w:color w:val="000000"/>
                <w:kern w:val="0"/>
              </w:rPr>
              <w:t>#</w:t>
            </w:r>
          </w:p>
        </w:tc>
        <w:tc>
          <w:tcPr>
            <w:tcW w:w="1283" w:type="dxa"/>
            <w:tcBorders>
              <w:top w:val="single" w:sz="4" w:space="0" w:color="auto"/>
              <w:left w:val="single" w:sz="4" w:space="0" w:color="auto"/>
              <w:right w:val="single" w:sz="4" w:space="0" w:color="auto"/>
            </w:tcBorders>
            <w:shd w:val="clear" w:color="auto" w:fill="C0C0C0"/>
            <w:vAlign w:val="bottom"/>
          </w:tcPr>
          <w:p w:rsidR="004D741B" w:rsidRPr="00085542" w:rsidP="00AF156C" w14:paraId="4706195F" w14:textId="77777777">
            <w:pPr>
              <w:keepNext/>
              <w:keepLines/>
              <w:spacing w:after="120"/>
              <w:jc w:val="center"/>
              <w:rPr>
                <w:rFonts w:cs="Times New Roman"/>
                <w:b/>
                <w:color w:val="000000"/>
                <w:kern w:val="0"/>
              </w:rPr>
            </w:pPr>
            <w:r w:rsidRPr="255FCAE1">
              <w:rPr>
                <w:rFonts w:cs="Times New Roman"/>
                <w:b/>
                <w:color w:val="000000"/>
                <w:kern w:val="0"/>
              </w:rPr>
              <w:t>%</w:t>
            </w:r>
          </w:p>
        </w:tc>
      </w:tr>
      <w:tr w14:paraId="19ECEE1A" w14:textId="77777777" w:rsidTr="00AF156C">
        <w:tblPrEx>
          <w:tblW w:w="9360" w:type="dxa"/>
          <w:tblInd w:w="93" w:type="dxa"/>
          <w:tblLayout w:type="fixed"/>
          <w:tblLook w:val="0000"/>
        </w:tblPrEx>
        <w:trPr>
          <w:trHeight w:val="253"/>
        </w:trPr>
        <w:tc>
          <w:tcPr>
            <w:tcW w:w="2242" w:type="dxa"/>
            <w:tcBorders>
              <w:top w:val="nil"/>
              <w:left w:val="single" w:sz="4" w:space="0" w:color="auto"/>
              <w:bottom w:val="single" w:sz="4" w:space="0" w:color="auto"/>
              <w:right w:val="single" w:sz="4" w:space="0" w:color="auto"/>
            </w:tcBorders>
            <w:vAlign w:val="bottom"/>
          </w:tcPr>
          <w:p w:rsidR="006634BE" w:rsidRPr="006634BE" w:rsidP="006634BE" w14:paraId="64FDE728" w14:textId="77777777">
            <w:pPr>
              <w:keepNext/>
              <w:keepLines/>
              <w:spacing w:after="120"/>
              <w:jc w:val="right"/>
              <w:rPr>
                <w:rFonts w:cs="Times New Roman"/>
                <w:color w:val="000000"/>
                <w:kern w:val="0"/>
              </w:rPr>
            </w:pPr>
            <w:r w:rsidRPr="006634BE">
              <w:rPr>
                <w:rFonts w:cs="Times New Roman"/>
                <w:color w:val="000000"/>
                <w:kern w:val="0"/>
              </w:rPr>
              <w:t>Radio Broadcasters</w:t>
            </w:r>
          </w:p>
        </w:tc>
        <w:tc>
          <w:tcPr>
            <w:tcW w:w="1986" w:type="dxa"/>
            <w:tcBorders>
              <w:top w:val="nil"/>
              <w:left w:val="single" w:sz="4" w:space="0" w:color="auto"/>
              <w:bottom w:val="single" w:sz="4" w:space="0" w:color="auto"/>
              <w:right w:val="single" w:sz="4" w:space="0" w:color="auto"/>
            </w:tcBorders>
            <w:vAlign w:val="bottom"/>
          </w:tcPr>
          <w:p w:rsidR="006634BE" w:rsidRPr="006634BE" w:rsidP="006634BE" w14:paraId="7B99E349" w14:textId="77777777">
            <w:pPr>
              <w:keepNext/>
              <w:keepLines/>
              <w:spacing w:after="120"/>
              <w:jc w:val="center"/>
              <w:rPr>
                <w:rFonts w:cs="Times New Roman"/>
                <w:color w:val="000000"/>
                <w:kern w:val="0"/>
              </w:rPr>
            </w:pPr>
            <w:r w:rsidRPr="006634BE">
              <w:rPr>
                <w:rFonts w:cs="Times New Roman"/>
                <w:color w:val="000000"/>
                <w:kern w:val="0"/>
              </w:rPr>
              <w:t>11688</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59B16E17" w14:textId="77777777">
            <w:pPr>
              <w:keepNext/>
              <w:keepLines/>
              <w:spacing w:after="120"/>
              <w:jc w:val="center"/>
              <w:rPr>
                <w:rFonts w:cs="Times New Roman"/>
                <w:color w:val="000000"/>
                <w:kern w:val="0"/>
              </w:rPr>
            </w:pPr>
            <w:r w:rsidRPr="006634BE">
              <w:rPr>
                <w:rFonts w:cs="Times New Roman"/>
                <w:color w:val="000000"/>
                <w:kern w:val="0"/>
              </w:rPr>
              <w:t>6657</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06D94AE4" w14:textId="77777777">
            <w:pPr>
              <w:keepNext/>
              <w:keepLines/>
              <w:spacing w:after="120"/>
              <w:jc w:val="center"/>
              <w:rPr>
                <w:rFonts w:cs="Times New Roman"/>
                <w:color w:val="000000"/>
                <w:kern w:val="0"/>
              </w:rPr>
            </w:pPr>
            <w:r w:rsidRPr="006634BE">
              <w:rPr>
                <w:rFonts w:cs="Times New Roman"/>
                <w:color w:val="000000"/>
                <w:kern w:val="0"/>
              </w:rPr>
              <w:t>57.0%</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591ABAD5" w14:textId="77777777">
            <w:pPr>
              <w:keepNext/>
              <w:keepLines/>
              <w:spacing w:after="120"/>
              <w:jc w:val="center"/>
              <w:rPr>
                <w:rFonts w:cs="Times New Roman"/>
                <w:color w:val="000000"/>
                <w:kern w:val="0"/>
              </w:rPr>
            </w:pPr>
            <w:r w:rsidRPr="006634BE">
              <w:rPr>
                <w:rFonts w:cs="Times New Roman"/>
                <w:color w:val="000000"/>
                <w:kern w:val="0"/>
              </w:rPr>
              <w:t>5031</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717E6B72" w14:textId="77777777">
            <w:pPr>
              <w:keepNext/>
              <w:keepLines/>
              <w:spacing w:after="120"/>
              <w:jc w:val="center"/>
              <w:rPr>
                <w:rFonts w:cs="Times New Roman"/>
                <w:color w:val="000000"/>
                <w:kern w:val="0"/>
              </w:rPr>
            </w:pPr>
            <w:r w:rsidRPr="006634BE">
              <w:rPr>
                <w:rFonts w:cs="Times New Roman"/>
                <w:color w:val="000000"/>
                <w:kern w:val="0"/>
              </w:rPr>
              <w:t>43.0%</w:t>
            </w:r>
          </w:p>
        </w:tc>
      </w:tr>
      <w:tr w14:paraId="34893C0F" w14:textId="77777777" w:rsidTr="00AF156C">
        <w:tblPrEx>
          <w:tblW w:w="9360" w:type="dxa"/>
          <w:tblInd w:w="93" w:type="dxa"/>
          <w:tblLayout w:type="fixed"/>
          <w:tblLook w:val="0000"/>
        </w:tblPrEx>
        <w:trPr>
          <w:trHeight w:val="253"/>
        </w:trPr>
        <w:tc>
          <w:tcPr>
            <w:tcW w:w="2242" w:type="dxa"/>
            <w:tcBorders>
              <w:top w:val="nil"/>
              <w:left w:val="single" w:sz="4" w:space="0" w:color="auto"/>
              <w:bottom w:val="single" w:sz="4" w:space="0" w:color="auto"/>
              <w:right w:val="single" w:sz="4" w:space="0" w:color="auto"/>
            </w:tcBorders>
            <w:shd w:val="clear" w:color="auto" w:fill="FFFFFF" w:themeFill="background1"/>
            <w:vAlign w:val="bottom"/>
          </w:tcPr>
          <w:p w:rsidR="006634BE" w:rsidRPr="006634BE" w:rsidP="006634BE" w14:paraId="31770E53" w14:textId="77777777">
            <w:pPr>
              <w:keepNext/>
              <w:keepLines/>
              <w:spacing w:after="120"/>
              <w:jc w:val="right"/>
              <w:rPr>
                <w:rFonts w:cs="Times New Roman"/>
                <w:color w:val="000000"/>
                <w:kern w:val="0"/>
              </w:rPr>
            </w:pPr>
            <w:r w:rsidRPr="006634BE">
              <w:rPr>
                <w:rFonts w:cs="Times New Roman"/>
                <w:color w:val="000000"/>
                <w:kern w:val="0"/>
              </w:rPr>
              <w:t>Television Broadcasters</w:t>
            </w:r>
          </w:p>
        </w:tc>
        <w:tc>
          <w:tcPr>
            <w:tcW w:w="1986" w:type="dxa"/>
            <w:tcBorders>
              <w:top w:val="nil"/>
              <w:left w:val="single" w:sz="4" w:space="0" w:color="auto"/>
              <w:bottom w:val="single" w:sz="4" w:space="0" w:color="auto"/>
              <w:right w:val="single" w:sz="4" w:space="0" w:color="auto"/>
            </w:tcBorders>
            <w:shd w:val="clear" w:color="auto" w:fill="FFFFFF" w:themeFill="background1"/>
            <w:vAlign w:val="bottom"/>
          </w:tcPr>
          <w:p w:rsidR="006634BE" w:rsidRPr="006634BE" w:rsidP="006634BE" w14:paraId="3F6D4671" w14:textId="77777777">
            <w:pPr>
              <w:keepNext/>
              <w:keepLines/>
              <w:spacing w:after="120"/>
              <w:jc w:val="center"/>
              <w:rPr>
                <w:rFonts w:cs="Times New Roman"/>
                <w:color w:val="000000"/>
                <w:kern w:val="0"/>
              </w:rPr>
            </w:pPr>
            <w:r w:rsidRPr="006634BE">
              <w:rPr>
                <w:rFonts w:cs="Times New Roman"/>
                <w:color w:val="000000"/>
                <w:kern w:val="0"/>
              </w:rPr>
              <w:t>213</w:t>
            </w:r>
            <w:r w:rsidR="001E7EA4">
              <w:rPr>
                <w:rFonts w:cs="Times New Roman"/>
                <w:color w:val="000000"/>
                <w:kern w:val="0"/>
              </w:rPr>
              <w:t>9</w:t>
            </w:r>
          </w:p>
        </w:tc>
        <w:tc>
          <w:tcPr>
            <w:tcW w:w="1283" w:type="dxa"/>
            <w:tcBorders>
              <w:top w:val="nil"/>
              <w:left w:val="single" w:sz="4" w:space="0" w:color="auto"/>
              <w:bottom w:val="single" w:sz="4" w:space="0" w:color="auto"/>
              <w:right w:val="single" w:sz="4" w:space="0" w:color="auto"/>
            </w:tcBorders>
            <w:shd w:val="clear" w:color="auto" w:fill="FFFFFF" w:themeFill="background1"/>
            <w:vAlign w:val="bottom"/>
          </w:tcPr>
          <w:p w:rsidR="006634BE" w:rsidRPr="006634BE" w:rsidP="006634BE" w14:paraId="5E34310B" w14:textId="77777777">
            <w:pPr>
              <w:keepNext/>
              <w:keepLines/>
              <w:spacing w:after="120"/>
              <w:jc w:val="center"/>
              <w:rPr>
                <w:rFonts w:cs="Times New Roman"/>
                <w:color w:val="000000"/>
                <w:kern w:val="0"/>
              </w:rPr>
            </w:pPr>
            <w:r w:rsidRPr="006634BE">
              <w:rPr>
                <w:rFonts w:cs="Times New Roman"/>
                <w:color w:val="000000"/>
                <w:kern w:val="0"/>
              </w:rPr>
              <w:t>1306</w:t>
            </w:r>
          </w:p>
        </w:tc>
        <w:tc>
          <w:tcPr>
            <w:tcW w:w="1283" w:type="dxa"/>
            <w:tcBorders>
              <w:top w:val="nil"/>
              <w:left w:val="single" w:sz="4" w:space="0" w:color="auto"/>
              <w:bottom w:val="single" w:sz="4" w:space="0" w:color="auto"/>
              <w:right w:val="single" w:sz="4" w:space="0" w:color="auto"/>
            </w:tcBorders>
            <w:shd w:val="clear" w:color="auto" w:fill="FFFFFF" w:themeFill="background1"/>
            <w:vAlign w:val="bottom"/>
          </w:tcPr>
          <w:p w:rsidR="006634BE" w:rsidRPr="006634BE" w:rsidP="006634BE" w14:paraId="134A6497" w14:textId="77777777">
            <w:pPr>
              <w:keepNext/>
              <w:keepLines/>
              <w:spacing w:after="120"/>
              <w:jc w:val="center"/>
              <w:rPr>
                <w:rFonts w:cs="Times New Roman"/>
                <w:color w:val="000000"/>
                <w:kern w:val="0"/>
              </w:rPr>
            </w:pPr>
            <w:r w:rsidRPr="006634BE">
              <w:rPr>
                <w:rFonts w:cs="Times New Roman"/>
                <w:color w:val="000000"/>
                <w:kern w:val="0"/>
              </w:rPr>
              <w:t>61.1%</w:t>
            </w:r>
          </w:p>
        </w:tc>
        <w:tc>
          <w:tcPr>
            <w:tcW w:w="1283" w:type="dxa"/>
            <w:tcBorders>
              <w:top w:val="nil"/>
              <w:left w:val="single" w:sz="4" w:space="0" w:color="auto"/>
              <w:bottom w:val="single" w:sz="4" w:space="0" w:color="auto"/>
              <w:right w:val="single" w:sz="4" w:space="0" w:color="auto"/>
            </w:tcBorders>
            <w:shd w:val="clear" w:color="auto" w:fill="FFFFFF" w:themeFill="background1"/>
            <w:vAlign w:val="bottom"/>
          </w:tcPr>
          <w:p w:rsidR="006634BE" w:rsidRPr="006634BE" w:rsidP="006634BE" w14:paraId="2801B66B" w14:textId="77777777">
            <w:pPr>
              <w:keepNext/>
              <w:keepLines/>
              <w:spacing w:after="120"/>
              <w:jc w:val="center"/>
              <w:rPr>
                <w:rFonts w:cs="Times New Roman"/>
                <w:color w:val="000000"/>
                <w:kern w:val="0"/>
              </w:rPr>
            </w:pPr>
            <w:r w:rsidRPr="006634BE">
              <w:rPr>
                <w:rFonts w:cs="Times New Roman"/>
                <w:color w:val="000000"/>
                <w:kern w:val="0"/>
              </w:rPr>
              <w:t>83</w:t>
            </w:r>
            <w:r w:rsidR="001E7EA4">
              <w:rPr>
                <w:rFonts w:cs="Times New Roman"/>
                <w:color w:val="000000"/>
                <w:kern w:val="0"/>
              </w:rPr>
              <w:t>3</w:t>
            </w:r>
          </w:p>
        </w:tc>
        <w:tc>
          <w:tcPr>
            <w:tcW w:w="1283" w:type="dxa"/>
            <w:tcBorders>
              <w:top w:val="nil"/>
              <w:left w:val="single" w:sz="4" w:space="0" w:color="auto"/>
              <w:bottom w:val="single" w:sz="4" w:space="0" w:color="auto"/>
              <w:right w:val="single" w:sz="4" w:space="0" w:color="auto"/>
            </w:tcBorders>
            <w:shd w:val="clear" w:color="auto" w:fill="FFFFFF" w:themeFill="background1"/>
            <w:vAlign w:val="bottom"/>
          </w:tcPr>
          <w:p w:rsidR="006634BE" w:rsidRPr="006634BE" w:rsidP="006634BE" w14:paraId="64BFFE3C" w14:textId="77777777">
            <w:pPr>
              <w:keepNext/>
              <w:keepLines/>
              <w:spacing w:after="120"/>
              <w:jc w:val="center"/>
              <w:rPr>
                <w:rFonts w:cs="Times New Roman"/>
                <w:color w:val="000000"/>
                <w:kern w:val="0"/>
              </w:rPr>
            </w:pPr>
            <w:r w:rsidRPr="006634BE">
              <w:rPr>
                <w:rFonts w:cs="Times New Roman"/>
                <w:color w:val="000000"/>
                <w:kern w:val="0"/>
              </w:rPr>
              <w:t>38.9%</w:t>
            </w:r>
          </w:p>
        </w:tc>
      </w:tr>
      <w:tr w14:paraId="7749D656" w14:textId="77777777" w:rsidTr="00AF156C">
        <w:tblPrEx>
          <w:tblW w:w="9360" w:type="dxa"/>
          <w:tblInd w:w="93" w:type="dxa"/>
          <w:tblLayout w:type="fixed"/>
          <w:tblLook w:val="0000"/>
        </w:tblPrEx>
        <w:trPr>
          <w:trHeight w:val="253"/>
        </w:trPr>
        <w:tc>
          <w:tcPr>
            <w:tcW w:w="2242" w:type="dxa"/>
            <w:tcBorders>
              <w:left w:val="single" w:sz="4" w:space="0" w:color="auto"/>
              <w:bottom w:val="single" w:sz="4" w:space="0" w:color="auto"/>
              <w:right w:val="single" w:sz="4" w:space="0" w:color="auto"/>
            </w:tcBorders>
            <w:vAlign w:val="bottom"/>
          </w:tcPr>
          <w:p w:rsidR="006634BE" w:rsidRPr="006634BE" w:rsidP="006634BE" w14:paraId="0FD1D362" w14:textId="77777777">
            <w:pPr>
              <w:keepNext/>
              <w:keepLines/>
              <w:spacing w:after="120"/>
              <w:jc w:val="right"/>
              <w:rPr>
                <w:rFonts w:cs="Times New Roman"/>
                <w:color w:val="000000"/>
                <w:kern w:val="0"/>
              </w:rPr>
            </w:pPr>
            <w:r w:rsidRPr="006634BE">
              <w:rPr>
                <w:rFonts w:cs="Times New Roman"/>
                <w:color w:val="000000"/>
                <w:kern w:val="0"/>
              </w:rPr>
              <w:t>Cable Systems</w:t>
            </w:r>
          </w:p>
        </w:tc>
        <w:tc>
          <w:tcPr>
            <w:tcW w:w="1986" w:type="dxa"/>
            <w:tcBorders>
              <w:left w:val="single" w:sz="4" w:space="0" w:color="auto"/>
              <w:bottom w:val="single" w:sz="4" w:space="0" w:color="auto"/>
              <w:right w:val="single" w:sz="4" w:space="0" w:color="auto"/>
            </w:tcBorders>
            <w:vAlign w:val="bottom"/>
          </w:tcPr>
          <w:p w:rsidR="006634BE" w:rsidRPr="006634BE" w:rsidP="006634BE" w14:paraId="7FA71876" w14:textId="77777777">
            <w:pPr>
              <w:keepNext/>
              <w:keepLines/>
              <w:spacing w:after="120"/>
              <w:jc w:val="center"/>
              <w:rPr>
                <w:rFonts w:cs="Times New Roman"/>
                <w:color w:val="000000"/>
                <w:kern w:val="0"/>
              </w:rPr>
            </w:pPr>
            <w:r w:rsidRPr="006634BE">
              <w:rPr>
                <w:rFonts w:cs="Times New Roman"/>
                <w:color w:val="000000"/>
                <w:kern w:val="0"/>
              </w:rPr>
              <w:t>2609</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48625A1B" w14:textId="77777777">
            <w:pPr>
              <w:keepNext/>
              <w:keepLines/>
              <w:spacing w:after="120"/>
              <w:jc w:val="center"/>
              <w:rPr>
                <w:rFonts w:cs="Times New Roman"/>
                <w:color w:val="000000"/>
                <w:kern w:val="0"/>
              </w:rPr>
            </w:pPr>
            <w:r w:rsidRPr="006634BE">
              <w:rPr>
                <w:rFonts w:cs="Times New Roman"/>
                <w:color w:val="000000"/>
                <w:kern w:val="0"/>
              </w:rPr>
              <w:t>1659</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0027A5BD" w14:textId="77777777">
            <w:pPr>
              <w:keepNext/>
              <w:keepLines/>
              <w:spacing w:after="120"/>
              <w:jc w:val="center"/>
              <w:rPr>
                <w:rFonts w:cs="Times New Roman"/>
                <w:color w:val="000000"/>
                <w:kern w:val="0"/>
              </w:rPr>
            </w:pPr>
            <w:r w:rsidRPr="006634BE">
              <w:rPr>
                <w:rFonts w:cs="Times New Roman"/>
                <w:color w:val="000000"/>
                <w:kern w:val="0"/>
              </w:rPr>
              <w:t>63.6%</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0C0DF4AB" w14:textId="77777777">
            <w:pPr>
              <w:keepNext/>
              <w:keepLines/>
              <w:spacing w:after="120"/>
              <w:jc w:val="center"/>
              <w:rPr>
                <w:rFonts w:cs="Times New Roman"/>
                <w:color w:val="000000"/>
                <w:kern w:val="0"/>
              </w:rPr>
            </w:pPr>
            <w:r w:rsidRPr="006634BE">
              <w:rPr>
                <w:rFonts w:cs="Times New Roman"/>
                <w:color w:val="000000"/>
                <w:kern w:val="0"/>
              </w:rPr>
              <w:t>950</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0E6FEFA9" w14:textId="77777777">
            <w:pPr>
              <w:keepNext/>
              <w:keepLines/>
              <w:spacing w:after="120"/>
              <w:jc w:val="center"/>
              <w:rPr>
                <w:rFonts w:cs="Times New Roman"/>
                <w:color w:val="000000"/>
                <w:kern w:val="0"/>
              </w:rPr>
            </w:pPr>
            <w:r w:rsidRPr="006634BE">
              <w:rPr>
                <w:rFonts w:cs="Times New Roman"/>
                <w:color w:val="000000"/>
                <w:kern w:val="0"/>
              </w:rPr>
              <w:t>36.4%</w:t>
            </w:r>
          </w:p>
        </w:tc>
      </w:tr>
      <w:tr w14:paraId="3AB8687A" w14:textId="77777777" w:rsidTr="00AF156C">
        <w:tblPrEx>
          <w:tblW w:w="9360" w:type="dxa"/>
          <w:tblInd w:w="93" w:type="dxa"/>
          <w:tblLayout w:type="fixed"/>
          <w:tblLook w:val="0000"/>
        </w:tblPrEx>
        <w:trPr>
          <w:trHeight w:val="253"/>
        </w:trPr>
        <w:tc>
          <w:tcPr>
            <w:tcW w:w="2242" w:type="dxa"/>
            <w:tcBorders>
              <w:left w:val="single" w:sz="4" w:space="0" w:color="auto"/>
              <w:bottom w:val="single" w:sz="4" w:space="0" w:color="auto"/>
              <w:right w:val="single" w:sz="4" w:space="0" w:color="auto"/>
            </w:tcBorders>
            <w:vAlign w:val="bottom"/>
          </w:tcPr>
          <w:p w:rsidR="006634BE" w:rsidRPr="006634BE" w:rsidP="006634BE" w14:paraId="1DAD5A17" w14:textId="77777777">
            <w:pPr>
              <w:keepNext/>
              <w:keepLines/>
              <w:spacing w:after="120"/>
              <w:jc w:val="right"/>
              <w:rPr>
                <w:rFonts w:cs="Times New Roman"/>
                <w:color w:val="000000"/>
                <w:kern w:val="0"/>
              </w:rPr>
            </w:pPr>
            <w:bookmarkStart w:id="325" w:name="_Hlk510000627"/>
            <w:r w:rsidRPr="006634BE">
              <w:rPr>
                <w:rFonts w:cs="Times New Roman"/>
                <w:color w:val="000000"/>
                <w:kern w:val="0"/>
              </w:rPr>
              <w:t>IPTV Provider</w:t>
            </w:r>
            <w:bookmarkEnd w:id="325"/>
            <w:r w:rsidR="0051415F">
              <w:rPr>
                <w:rFonts w:cs="Times New Roman"/>
                <w:color w:val="000000"/>
                <w:kern w:val="0"/>
              </w:rPr>
              <w:t>s</w:t>
            </w:r>
          </w:p>
        </w:tc>
        <w:tc>
          <w:tcPr>
            <w:tcW w:w="1986" w:type="dxa"/>
            <w:tcBorders>
              <w:left w:val="single" w:sz="4" w:space="0" w:color="auto"/>
              <w:bottom w:val="single" w:sz="4" w:space="0" w:color="auto"/>
              <w:right w:val="single" w:sz="4" w:space="0" w:color="auto"/>
            </w:tcBorders>
            <w:vAlign w:val="bottom"/>
          </w:tcPr>
          <w:p w:rsidR="006634BE" w:rsidRPr="006634BE" w:rsidP="006634BE" w14:paraId="1E65D79C" w14:textId="77777777">
            <w:pPr>
              <w:keepNext/>
              <w:keepLines/>
              <w:spacing w:after="120"/>
              <w:jc w:val="center"/>
              <w:rPr>
                <w:rFonts w:cs="Times New Roman"/>
                <w:color w:val="000000"/>
                <w:kern w:val="0"/>
              </w:rPr>
            </w:pPr>
            <w:r w:rsidRPr="006634BE">
              <w:rPr>
                <w:rFonts w:cs="Times New Roman"/>
                <w:color w:val="000000"/>
                <w:kern w:val="0"/>
              </w:rPr>
              <w:t>231</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440D3870" w14:textId="77777777">
            <w:pPr>
              <w:keepNext/>
              <w:keepLines/>
              <w:spacing w:after="120"/>
              <w:jc w:val="center"/>
              <w:rPr>
                <w:rFonts w:cs="Times New Roman"/>
                <w:color w:val="000000"/>
                <w:kern w:val="0"/>
              </w:rPr>
            </w:pPr>
            <w:r w:rsidRPr="006634BE">
              <w:rPr>
                <w:rFonts w:cs="Times New Roman"/>
                <w:color w:val="000000"/>
                <w:kern w:val="0"/>
              </w:rPr>
              <w:t>170</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4A3B0671" w14:textId="77777777">
            <w:pPr>
              <w:keepNext/>
              <w:keepLines/>
              <w:spacing w:after="120"/>
              <w:jc w:val="center"/>
              <w:rPr>
                <w:rFonts w:cs="Times New Roman"/>
                <w:color w:val="000000"/>
                <w:kern w:val="0"/>
              </w:rPr>
            </w:pPr>
            <w:r w:rsidRPr="006634BE">
              <w:rPr>
                <w:rFonts w:cs="Times New Roman"/>
                <w:color w:val="000000"/>
                <w:kern w:val="0"/>
              </w:rPr>
              <w:t>73.6%</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5572EA27" w14:textId="77777777">
            <w:pPr>
              <w:keepNext/>
              <w:keepLines/>
              <w:spacing w:after="120"/>
              <w:jc w:val="center"/>
              <w:rPr>
                <w:rFonts w:cs="Times New Roman"/>
                <w:color w:val="000000"/>
                <w:kern w:val="0"/>
              </w:rPr>
            </w:pPr>
            <w:r w:rsidRPr="006634BE">
              <w:rPr>
                <w:rFonts w:cs="Times New Roman"/>
                <w:color w:val="000000"/>
                <w:kern w:val="0"/>
              </w:rPr>
              <w:t>61</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348DB07D" w14:textId="77777777">
            <w:pPr>
              <w:keepNext/>
              <w:keepLines/>
              <w:spacing w:after="120"/>
              <w:jc w:val="center"/>
              <w:rPr>
                <w:rFonts w:cs="Times New Roman"/>
                <w:color w:val="000000"/>
                <w:kern w:val="0"/>
              </w:rPr>
            </w:pPr>
            <w:r w:rsidRPr="006634BE">
              <w:rPr>
                <w:rFonts w:cs="Times New Roman"/>
                <w:color w:val="000000"/>
                <w:kern w:val="0"/>
              </w:rPr>
              <w:t>26.4%</w:t>
            </w:r>
          </w:p>
        </w:tc>
      </w:tr>
      <w:tr w14:paraId="64AE7942" w14:textId="77777777" w:rsidTr="00AF156C">
        <w:tblPrEx>
          <w:tblW w:w="9360" w:type="dxa"/>
          <w:tblInd w:w="93" w:type="dxa"/>
          <w:tblLayout w:type="fixed"/>
          <w:tblLook w:val="0000"/>
        </w:tblPrEx>
        <w:trPr>
          <w:trHeight w:val="253"/>
        </w:trPr>
        <w:tc>
          <w:tcPr>
            <w:tcW w:w="2242" w:type="dxa"/>
            <w:tcBorders>
              <w:top w:val="nil"/>
              <w:left w:val="single" w:sz="4" w:space="0" w:color="auto"/>
              <w:bottom w:val="single" w:sz="4" w:space="0" w:color="auto"/>
              <w:right w:val="single" w:sz="4" w:space="0" w:color="auto"/>
            </w:tcBorders>
            <w:vAlign w:val="bottom"/>
          </w:tcPr>
          <w:p w:rsidR="006634BE" w:rsidRPr="006634BE" w:rsidP="006634BE" w14:paraId="4F8CEB95" w14:textId="77777777">
            <w:pPr>
              <w:keepNext/>
              <w:keepLines/>
              <w:spacing w:after="120"/>
              <w:jc w:val="right"/>
              <w:rPr>
                <w:rFonts w:cs="Times New Roman"/>
                <w:color w:val="000000"/>
                <w:kern w:val="0"/>
              </w:rPr>
            </w:pPr>
            <w:r w:rsidRPr="006634BE">
              <w:rPr>
                <w:rFonts w:cs="Times New Roman"/>
                <w:color w:val="000000"/>
                <w:kern w:val="0"/>
              </w:rPr>
              <w:t>Wireline Video System</w:t>
            </w:r>
            <w:r w:rsidR="0051415F">
              <w:rPr>
                <w:rFonts w:cs="Times New Roman"/>
                <w:color w:val="000000"/>
                <w:kern w:val="0"/>
              </w:rPr>
              <w:t>s</w:t>
            </w:r>
          </w:p>
        </w:tc>
        <w:tc>
          <w:tcPr>
            <w:tcW w:w="1986" w:type="dxa"/>
            <w:tcBorders>
              <w:top w:val="nil"/>
              <w:left w:val="single" w:sz="4" w:space="0" w:color="auto"/>
              <w:bottom w:val="single" w:sz="4" w:space="0" w:color="auto"/>
              <w:right w:val="single" w:sz="4" w:space="0" w:color="auto"/>
            </w:tcBorders>
            <w:vAlign w:val="bottom"/>
          </w:tcPr>
          <w:p w:rsidR="006634BE" w:rsidRPr="006634BE" w:rsidP="006634BE" w14:paraId="6C36961B" w14:textId="77777777">
            <w:pPr>
              <w:keepNext/>
              <w:keepLines/>
              <w:spacing w:after="120"/>
              <w:jc w:val="center"/>
              <w:rPr>
                <w:rFonts w:cs="Times New Roman"/>
                <w:color w:val="000000"/>
                <w:kern w:val="0"/>
              </w:rPr>
            </w:pPr>
            <w:r w:rsidRPr="006634BE">
              <w:rPr>
                <w:rFonts w:cs="Times New Roman"/>
                <w:color w:val="000000"/>
                <w:kern w:val="0"/>
              </w:rPr>
              <w:t>56</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052987FE" w14:textId="77777777">
            <w:pPr>
              <w:keepNext/>
              <w:keepLines/>
              <w:spacing w:after="120"/>
              <w:jc w:val="center"/>
              <w:rPr>
                <w:rFonts w:cs="Times New Roman"/>
                <w:color w:val="000000"/>
                <w:kern w:val="0"/>
              </w:rPr>
            </w:pPr>
            <w:r w:rsidRPr="006634BE">
              <w:rPr>
                <w:rFonts w:cs="Times New Roman"/>
                <w:color w:val="000000"/>
                <w:kern w:val="0"/>
              </w:rPr>
              <w:t>28</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2552CA41" w14:textId="77777777">
            <w:pPr>
              <w:keepNext/>
              <w:keepLines/>
              <w:spacing w:after="120"/>
              <w:jc w:val="center"/>
              <w:rPr>
                <w:rFonts w:cs="Times New Roman"/>
                <w:color w:val="000000"/>
                <w:kern w:val="0"/>
              </w:rPr>
            </w:pPr>
            <w:r w:rsidRPr="006634BE">
              <w:rPr>
                <w:rFonts w:cs="Times New Roman"/>
                <w:color w:val="000000"/>
                <w:kern w:val="0"/>
              </w:rPr>
              <w:t>50</w:t>
            </w:r>
            <w:r w:rsidR="00624870">
              <w:rPr>
                <w:rFonts w:cs="Times New Roman"/>
                <w:color w:val="000000"/>
                <w:kern w:val="0"/>
              </w:rPr>
              <w:t>.0</w:t>
            </w:r>
            <w:r w:rsidRPr="006634BE">
              <w:rPr>
                <w:rFonts w:cs="Times New Roman"/>
                <w:color w:val="000000"/>
                <w:kern w:val="0"/>
              </w:rPr>
              <w:t>%</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7425F52E" w14:textId="77777777">
            <w:pPr>
              <w:keepNext/>
              <w:keepLines/>
              <w:spacing w:after="120"/>
              <w:jc w:val="center"/>
              <w:rPr>
                <w:rFonts w:cs="Times New Roman"/>
                <w:color w:val="000000"/>
                <w:kern w:val="0"/>
              </w:rPr>
            </w:pPr>
            <w:r w:rsidRPr="006634BE">
              <w:rPr>
                <w:rFonts w:cs="Times New Roman"/>
                <w:color w:val="000000"/>
                <w:kern w:val="0"/>
              </w:rPr>
              <w:t>28</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6F3BD02E" w14:textId="77777777">
            <w:pPr>
              <w:keepNext/>
              <w:keepLines/>
              <w:spacing w:after="120"/>
              <w:jc w:val="center"/>
              <w:rPr>
                <w:rFonts w:cs="Times New Roman"/>
                <w:color w:val="000000"/>
                <w:kern w:val="0"/>
              </w:rPr>
            </w:pPr>
            <w:r w:rsidRPr="006634BE">
              <w:rPr>
                <w:rFonts w:cs="Times New Roman"/>
                <w:color w:val="000000"/>
                <w:kern w:val="0"/>
              </w:rPr>
              <w:t>50</w:t>
            </w:r>
            <w:r w:rsidR="00624870">
              <w:rPr>
                <w:rFonts w:cs="Times New Roman"/>
                <w:color w:val="000000"/>
                <w:kern w:val="0"/>
              </w:rPr>
              <w:t>.0</w:t>
            </w:r>
            <w:r w:rsidRPr="006634BE">
              <w:rPr>
                <w:rFonts w:cs="Times New Roman"/>
                <w:color w:val="000000"/>
                <w:kern w:val="0"/>
              </w:rPr>
              <w:t>%</w:t>
            </w:r>
          </w:p>
        </w:tc>
      </w:tr>
      <w:tr w14:paraId="33C25F13" w14:textId="77777777" w:rsidTr="00AF156C">
        <w:tblPrEx>
          <w:tblW w:w="9360" w:type="dxa"/>
          <w:tblInd w:w="93" w:type="dxa"/>
          <w:tblLayout w:type="fixed"/>
          <w:tblLook w:val="0000"/>
        </w:tblPrEx>
        <w:trPr>
          <w:trHeight w:val="253"/>
        </w:trPr>
        <w:tc>
          <w:tcPr>
            <w:tcW w:w="2242" w:type="dxa"/>
            <w:tcBorders>
              <w:top w:val="nil"/>
              <w:left w:val="single" w:sz="4" w:space="0" w:color="auto"/>
              <w:bottom w:val="single" w:sz="4" w:space="0" w:color="auto"/>
              <w:right w:val="single" w:sz="4" w:space="0" w:color="auto"/>
            </w:tcBorders>
            <w:vAlign w:val="bottom"/>
          </w:tcPr>
          <w:p w:rsidR="006634BE" w:rsidRPr="006634BE" w:rsidP="006634BE" w14:paraId="4A398004" w14:textId="77777777">
            <w:pPr>
              <w:keepNext/>
              <w:keepLines/>
              <w:spacing w:after="120"/>
              <w:jc w:val="right"/>
              <w:rPr>
                <w:rFonts w:cs="Times New Roman"/>
                <w:color w:val="000000"/>
                <w:kern w:val="0"/>
              </w:rPr>
            </w:pPr>
            <w:r w:rsidRPr="006634BE">
              <w:rPr>
                <w:rFonts w:cs="Times New Roman"/>
                <w:color w:val="000000"/>
                <w:kern w:val="0"/>
              </w:rPr>
              <w:t>Other</w:t>
            </w:r>
          </w:p>
        </w:tc>
        <w:tc>
          <w:tcPr>
            <w:tcW w:w="1986" w:type="dxa"/>
            <w:tcBorders>
              <w:top w:val="nil"/>
              <w:left w:val="single" w:sz="4" w:space="0" w:color="auto"/>
              <w:bottom w:val="single" w:sz="4" w:space="0" w:color="auto"/>
              <w:right w:val="single" w:sz="4" w:space="0" w:color="auto"/>
            </w:tcBorders>
            <w:vAlign w:val="bottom"/>
          </w:tcPr>
          <w:p w:rsidR="006634BE" w:rsidRPr="006634BE" w:rsidP="006634BE" w14:paraId="1AF102CE" w14:textId="77777777">
            <w:pPr>
              <w:keepNext/>
              <w:keepLines/>
              <w:spacing w:after="120"/>
              <w:jc w:val="center"/>
              <w:rPr>
                <w:rFonts w:cs="Times New Roman"/>
                <w:color w:val="000000"/>
                <w:kern w:val="0"/>
              </w:rPr>
            </w:pPr>
            <w:r w:rsidRPr="006634BE">
              <w:rPr>
                <w:rFonts w:cs="Times New Roman"/>
                <w:color w:val="000000"/>
                <w:kern w:val="0"/>
              </w:rPr>
              <w:t>15</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2B055B26" w14:textId="77777777">
            <w:pPr>
              <w:keepNext/>
              <w:keepLines/>
              <w:spacing w:after="120"/>
              <w:jc w:val="center"/>
              <w:rPr>
                <w:rFonts w:cs="Times New Roman"/>
                <w:color w:val="000000"/>
                <w:kern w:val="0"/>
              </w:rPr>
            </w:pPr>
            <w:r w:rsidRPr="006634BE">
              <w:rPr>
                <w:rFonts w:cs="Times New Roman"/>
                <w:color w:val="000000"/>
                <w:kern w:val="0"/>
              </w:rPr>
              <w:t>10</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07869122" w14:textId="77777777">
            <w:pPr>
              <w:keepNext/>
              <w:keepLines/>
              <w:spacing w:after="120"/>
              <w:jc w:val="center"/>
              <w:rPr>
                <w:rFonts w:cs="Times New Roman"/>
                <w:color w:val="000000"/>
                <w:kern w:val="0"/>
              </w:rPr>
            </w:pPr>
            <w:r w:rsidRPr="006634BE">
              <w:rPr>
                <w:rFonts w:cs="Times New Roman"/>
                <w:color w:val="000000"/>
                <w:kern w:val="0"/>
              </w:rPr>
              <w:t>66.7%</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507A6E09" w14:textId="77777777">
            <w:pPr>
              <w:keepNext/>
              <w:keepLines/>
              <w:spacing w:after="120"/>
              <w:jc w:val="center"/>
              <w:rPr>
                <w:rFonts w:cs="Times New Roman"/>
                <w:color w:val="000000"/>
                <w:kern w:val="0"/>
              </w:rPr>
            </w:pPr>
            <w:r w:rsidRPr="006634BE">
              <w:rPr>
                <w:rFonts w:cs="Times New Roman"/>
                <w:color w:val="000000"/>
                <w:kern w:val="0"/>
              </w:rPr>
              <w:t>5</w:t>
            </w:r>
          </w:p>
        </w:tc>
        <w:tc>
          <w:tcPr>
            <w:tcW w:w="1283" w:type="dxa"/>
            <w:tcBorders>
              <w:top w:val="nil"/>
              <w:left w:val="single" w:sz="4" w:space="0" w:color="auto"/>
              <w:bottom w:val="single" w:sz="4" w:space="0" w:color="auto"/>
              <w:right w:val="single" w:sz="4" w:space="0" w:color="auto"/>
            </w:tcBorders>
            <w:vAlign w:val="bottom"/>
          </w:tcPr>
          <w:p w:rsidR="006634BE" w:rsidRPr="006634BE" w:rsidP="006634BE" w14:paraId="03DC4150" w14:textId="77777777">
            <w:pPr>
              <w:keepNext/>
              <w:keepLines/>
              <w:spacing w:after="120"/>
              <w:jc w:val="center"/>
              <w:rPr>
                <w:rFonts w:cs="Times New Roman"/>
                <w:color w:val="000000"/>
                <w:kern w:val="0"/>
              </w:rPr>
            </w:pPr>
            <w:r w:rsidRPr="006634BE">
              <w:rPr>
                <w:rFonts w:cs="Times New Roman"/>
                <w:color w:val="000000"/>
                <w:kern w:val="0"/>
              </w:rPr>
              <w:t>33.3%</w:t>
            </w:r>
          </w:p>
        </w:tc>
      </w:tr>
      <w:tr w14:paraId="0A222FBC" w14:textId="77777777" w:rsidTr="00AF156C">
        <w:tblPrEx>
          <w:tblW w:w="9360" w:type="dxa"/>
          <w:tblInd w:w="93" w:type="dxa"/>
          <w:tblLayout w:type="fixed"/>
          <w:tblLook w:val="0000"/>
        </w:tblPrEx>
        <w:trPr>
          <w:trHeight w:val="253"/>
        </w:trPr>
        <w:tc>
          <w:tcPr>
            <w:tcW w:w="2242" w:type="dxa"/>
            <w:tcBorders>
              <w:top w:val="nil"/>
              <w:left w:val="single" w:sz="4" w:space="0" w:color="auto"/>
              <w:bottom w:val="single" w:sz="4" w:space="0" w:color="auto"/>
              <w:right w:val="single" w:sz="4" w:space="0" w:color="auto"/>
            </w:tcBorders>
            <w:shd w:val="clear" w:color="auto" w:fill="C0C0C0"/>
            <w:vAlign w:val="bottom"/>
          </w:tcPr>
          <w:p w:rsidR="006634BE" w:rsidRPr="006634BE" w:rsidP="006634BE" w14:paraId="42C61A8B" w14:textId="77777777">
            <w:pPr>
              <w:spacing w:after="120"/>
              <w:jc w:val="center"/>
              <w:rPr>
                <w:rFonts w:cs="Times New Roman"/>
                <w:b/>
                <w:i/>
                <w:iCs/>
                <w:color w:val="000000"/>
                <w:kern w:val="0"/>
              </w:rPr>
            </w:pPr>
            <w:r w:rsidRPr="006634BE">
              <w:rPr>
                <w:rFonts w:cs="Times New Roman"/>
                <w:b/>
                <w:i/>
                <w:iCs/>
                <w:color w:val="000000"/>
                <w:kern w:val="0"/>
              </w:rPr>
              <w:t>All Total</w:t>
            </w:r>
          </w:p>
        </w:tc>
        <w:tc>
          <w:tcPr>
            <w:tcW w:w="1986" w:type="dxa"/>
            <w:tcBorders>
              <w:top w:val="nil"/>
              <w:left w:val="single" w:sz="4" w:space="0" w:color="auto"/>
              <w:bottom w:val="single" w:sz="4" w:space="0" w:color="auto"/>
              <w:right w:val="single" w:sz="4" w:space="0" w:color="auto"/>
            </w:tcBorders>
            <w:shd w:val="clear" w:color="auto" w:fill="C0C0C0"/>
            <w:vAlign w:val="bottom"/>
          </w:tcPr>
          <w:p w:rsidR="006634BE" w:rsidRPr="006634BE" w:rsidP="006634BE" w14:paraId="44F51AA4" w14:textId="715ECA44">
            <w:pPr>
              <w:spacing w:after="120"/>
              <w:jc w:val="center"/>
              <w:rPr>
                <w:rFonts w:cs="Times New Roman"/>
                <w:b/>
                <w:color w:val="000000"/>
                <w:kern w:val="0"/>
              </w:rPr>
            </w:pPr>
            <w:r w:rsidRPr="006634BE">
              <w:rPr>
                <w:rFonts w:cs="Times New Roman"/>
                <w:b/>
                <w:color w:val="000000"/>
                <w:kern w:val="0"/>
              </w:rPr>
              <w:t>167</w:t>
            </w:r>
            <w:r w:rsidR="00835149">
              <w:rPr>
                <w:rFonts w:cs="Times New Roman"/>
                <w:b/>
                <w:color w:val="000000"/>
                <w:kern w:val="0"/>
              </w:rPr>
              <w:t>38</w:t>
            </w:r>
          </w:p>
        </w:tc>
        <w:tc>
          <w:tcPr>
            <w:tcW w:w="1283" w:type="dxa"/>
            <w:tcBorders>
              <w:top w:val="nil"/>
              <w:left w:val="single" w:sz="4" w:space="0" w:color="auto"/>
              <w:bottom w:val="single" w:sz="4" w:space="0" w:color="auto"/>
              <w:right w:val="single" w:sz="4" w:space="0" w:color="auto"/>
            </w:tcBorders>
            <w:shd w:val="clear" w:color="auto" w:fill="C0C0C0"/>
            <w:vAlign w:val="bottom"/>
          </w:tcPr>
          <w:p w:rsidR="006634BE" w:rsidRPr="006634BE" w:rsidP="006634BE" w14:paraId="0A0BDEBF" w14:textId="1692D3E5">
            <w:pPr>
              <w:spacing w:after="120"/>
              <w:jc w:val="center"/>
              <w:rPr>
                <w:rFonts w:cs="Times New Roman"/>
                <w:b/>
                <w:color w:val="000000"/>
                <w:kern w:val="0"/>
              </w:rPr>
            </w:pPr>
            <w:r w:rsidRPr="006634BE">
              <w:rPr>
                <w:rFonts w:cs="Times New Roman"/>
                <w:b/>
                <w:color w:val="000000"/>
                <w:kern w:val="0"/>
              </w:rPr>
              <w:t>983</w:t>
            </w:r>
            <w:r w:rsidR="00835149">
              <w:rPr>
                <w:rFonts w:cs="Times New Roman"/>
                <w:b/>
                <w:color w:val="000000"/>
                <w:kern w:val="0"/>
              </w:rPr>
              <w:t>0</w:t>
            </w:r>
          </w:p>
        </w:tc>
        <w:tc>
          <w:tcPr>
            <w:tcW w:w="1283" w:type="dxa"/>
            <w:tcBorders>
              <w:top w:val="nil"/>
              <w:left w:val="single" w:sz="4" w:space="0" w:color="auto"/>
              <w:bottom w:val="single" w:sz="4" w:space="0" w:color="auto"/>
              <w:right w:val="single" w:sz="4" w:space="0" w:color="auto"/>
            </w:tcBorders>
            <w:shd w:val="clear" w:color="auto" w:fill="C0C0C0"/>
            <w:vAlign w:val="bottom"/>
          </w:tcPr>
          <w:p w:rsidR="006634BE" w:rsidRPr="006634BE" w:rsidP="006634BE" w14:paraId="046CFEB6" w14:textId="77777777">
            <w:pPr>
              <w:spacing w:after="120"/>
              <w:jc w:val="center"/>
              <w:rPr>
                <w:rFonts w:cs="Times New Roman"/>
                <w:b/>
                <w:color w:val="000000"/>
                <w:kern w:val="0"/>
              </w:rPr>
            </w:pPr>
            <w:r w:rsidRPr="006634BE">
              <w:rPr>
                <w:rFonts w:cs="Times New Roman"/>
                <w:b/>
                <w:color w:val="000000"/>
                <w:kern w:val="0"/>
              </w:rPr>
              <w:t>58.7%</w:t>
            </w:r>
          </w:p>
        </w:tc>
        <w:tc>
          <w:tcPr>
            <w:tcW w:w="1283" w:type="dxa"/>
            <w:tcBorders>
              <w:top w:val="nil"/>
              <w:left w:val="single" w:sz="4" w:space="0" w:color="auto"/>
              <w:bottom w:val="single" w:sz="4" w:space="0" w:color="auto"/>
              <w:right w:val="single" w:sz="4" w:space="0" w:color="auto"/>
            </w:tcBorders>
            <w:shd w:val="clear" w:color="auto" w:fill="C0C0C0"/>
            <w:vAlign w:val="bottom"/>
          </w:tcPr>
          <w:p w:rsidR="006634BE" w:rsidRPr="006634BE" w:rsidP="006634BE" w14:paraId="64743DDE" w14:textId="6FF407D6">
            <w:pPr>
              <w:spacing w:after="120"/>
              <w:jc w:val="center"/>
              <w:rPr>
                <w:rFonts w:cs="Times New Roman"/>
                <w:b/>
                <w:color w:val="000000"/>
                <w:kern w:val="0"/>
              </w:rPr>
            </w:pPr>
            <w:r w:rsidRPr="006634BE">
              <w:rPr>
                <w:rFonts w:cs="Times New Roman"/>
                <w:b/>
                <w:color w:val="000000"/>
                <w:kern w:val="0"/>
              </w:rPr>
              <w:t>69</w:t>
            </w:r>
            <w:r w:rsidR="00835149">
              <w:rPr>
                <w:rFonts w:cs="Times New Roman"/>
                <w:b/>
                <w:color w:val="000000"/>
                <w:kern w:val="0"/>
              </w:rPr>
              <w:t>08</w:t>
            </w:r>
          </w:p>
        </w:tc>
        <w:tc>
          <w:tcPr>
            <w:tcW w:w="1283" w:type="dxa"/>
            <w:tcBorders>
              <w:top w:val="nil"/>
              <w:left w:val="single" w:sz="4" w:space="0" w:color="auto"/>
              <w:bottom w:val="single" w:sz="4" w:space="0" w:color="auto"/>
              <w:right w:val="single" w:sz="4" w:space="0" w:color="auto"/>
            </w:tcBorders>
            <w:shd w:val="clear" w:color="auto" w:fill="C0C0C0"/>
            <w:vAlign w:val="bottom"/>
          </w:tcPr>
          <w:p w:rsidR="006634BE" w:rsidRPr="006634BE" w:rsidP="006634BE" w14:paraId="5A765EDD" w14:textId="77777777">
            <w:pPr>
              <w:spacing w:after="120"/>
              <w:jc w:val="center"/>
              <w:rPr>
                <w:rFonts w:cs="Times New Roman"/>
                <w:b/>
                <w:color w:val="000000"/>
                <w:kern w:val="0"/>
              </w:rPr>
            </w:pPr>
            <w:r w:rsidRPr="006634BE">
              <w:rPr>
                <w:rFonts w:cs="Times New Roman"/>
                <w:b/>
                <w:color w:val="000000"/>
                <w:kern w:val="0"/>
              </w:rPr>
              <w:t>41.3%</w:t>
            </w:r>
          </w:p>
        </w:tc>
      </w:tr>
    </w:tbl>
    <w:p w:rsidR="001831CC" w:rsidP="001831CC" w14:paraId="40D2C241" w14:textId="77777777">
      <w:pPr>
        <w:pStyle w:val="Heading2"/>
        <w:numPr>
          <w:ilvl w:val="0"/>
          <w:numId w:val="0"/>
        </w:numPr>
      </w:pPr>
    </w:p>
    <w:p w:rsidR="00343A2C" w:rsidRPr="00B57342" w:rsidP="00A0777D" w14:paraId="78D8E42D" w14:textId="2A5959B2">
      <w:pPr>
        <w:pStyle w:val="Heading2"/>
      </w:pPr>
      <w:bookmarkStart w:id="326" w:name="_Toc5614038"/>
      <w:r w:rsidRPr="00B57342">
        <w:t>Language of Alert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6"/>
    </w:p>
    <w:p w:rsidR="00343A2C" w:rsidP="0004219B" w14:paraId="33B67A0D" w14:textId="6EB6FEDD">
      <w:pPr>
        <w:pStyle w:val="ParaNum"/>
        <w:numPr>
          <w:ilvl w:val="0"/>
          <w:numId w:val="0"/>
        </w:numPr>
        <w:spacing w:after="0"/>
        <w:rPr>
          <w:rFonts w:cs="Times New Roman"/>
        </w:rPr>
      </w:pPr>
      <w:r w:rsidRPr="006C24F7">
        <w:rPr>
          <w:rFonts w:cs="Times New Roman"/>
        </w:rPr>
        <w:t xml:space="preserve">Form Three asked EAS Participants to report the languages in which they received and retransmitted the test alert.  </w:t>
      </w:r>
      <w:r w:rsidRPr="001D3751">
        <w:rPr>
          <w:rFonts w:cs="Times New Roman"/>
          <w:b/>
        </w:rPr>
        <w:t xml:space="preserve">Table </w:t>
      </w:r>
      <w:r w:rsidR="0005014A">
        <w:rPr>
          <w:rFonts w:cs="Times New Roman"/>
          <w:b/>
        </w:rPr>
        <w:t>9</w:t>
      </w:r>
      <w:r w:rsidRPr="00785A17">
        <w:rPr>
          <w:rFonts w:cs="Times New Roman"/>
        </w:rPr>
        <w:t xml:space="preserve"> shows the language of the alerts that were received and retransmitted by test participants.  </w:t>
      </w:r>
      <w:r w:rsidR="00984371">
        <w:rPr>
          <w:rFonts w:cs="Times New Roman"/>
        </w:rPr>
        <w:t xml:space="preserve">This year shows a </w:t>
      </w:r>
      <w:r w:rsidR="00DC1FE5">
        <w:rPr>
          <w:rFonts w:cs="Times New Roman"/>
        </w:rPr>
        <w:t>triple-digit</w:t>
      </w:r>
      <w:r w:rsidR="00984371">
        <w:rPr>
          <w:rFonts w:cs="Times New Roman"/>
        </w:rPr>
        <w:t xml:space="preserve"> increase in the number of alerts received and retransmitted in Spanish-only and in English and Spanish, with alerts in English and Spanish received increasing 388% and </w:t>
      </w:r>
      <w:r w:rsidR="00A532A6">
        <w:rPr>
          <w:rFonts w:cs="Times New Roman"/>
        </w:rPr>
        <w:t>alerts in English and Spanish retransmitted increasing 350% from 2017</w:t>
      </w:r>
      <w:r w:rsidRPr="00D965C4" w:rsidR="00D72852">
        <w:rPr>
          <w:rFonts w:cs="Times New Roman"/>
        </w:rPr>
        <w:t>.</w:t>
      </w:r>
      <w:r>
        <w:rPr>
          <w:rStyle w:val="FootnoteReference"/>
        </w:rPr>
        <w:footnoteReference w:id="74"/>
      </w:r>
      <w:r w:rsidR="003A2650">
        <w:rPr>
          <w:rFonts w:cs="Times New Roman"/>
        </w:rPr>
        <w:t xml:space="preserve">  </w:t>
      </w:r>
    </w:p>
    <w:p w:rsidR="0005014A" w:rsidRPr="00646ABE" w:rsidP="0004219B" w14:paraId="7D5C5E44" w14:textId="77777777">
      <w:pPr>
        <w:pStyle w:val="ParaNum"/>
        <w:numPr>
          <w:ilvl w:val="0"/>
          <w:numId w:val="0"/>
        </w:numPr>
        <w:spacing w:after="0"/>
        <w:rPr>
          <w:rFonts w:cs="Times New Roman"/>
        </w:rPr>
      </w:pPr>
    </w:p>
    <w:p w:rsidR="00343A2C" w:rsidRPr="0063239E" w:rsidP="00343A2C" w14:paraId="7A75072E" w14:textId="5635F2F8">
      <w:pPr>
        <w:pStyle w:val="ParaNum"/>
        <w:keepNext/>
        <w:keepLines/>
        <w:numPr>
          <w:ilvl w:val="0"/>
          <w:numId w:val="0"/>
        </w:numPr>
        <w:rPr>
          <w:rFonts w:cs="Times New Roman"/>
          <w:b/>
        </w:rPr>
      </w:pPr>
      <w:r w:rsidRPr="00D034E5">
        <w:rPr>
          <w:rFonts w:cs="Times New Roman"/>
          <w:b/>
        </w:rPr>
        <w:t xml:space="preserve">Table </w:t>
      </w:r>
      <w:r w:rsidR="0005014A">
        <w:rPr>
          <w:rFonts w:cs="Times New Roman"/>
          <w:b/>
        </w:rPr>
        <w:t>9</w:t>
      </w:r>
      <w:r w:rsidRPr="00FE30CC">
        <w:rPr>
          <w:rFonts w:cs="Times New Roman"/>
          <w:b/>
        </w:rPr>
        <w:t xml:space="preserve">. </w:t>
      </w:r>
      <w:r w:rsidRPr="00611C1A" w:rsidR="006C72D3">
        <w:rPr>
          <w:rFonts w:cs="Times New Roman"/>
          <w:b/>
        </w:rPr>
        <w:t xml:space="preserve">Spanish </w:t>
      </w:r>
      <w:r w:rsidR="00124443">
        <w:rPr>
          <w:rFonts w:cs="Times New Roman"/>
          <w:b/>
        </w:rPr>
        <w:t>V</w:t>
      </w:r>
      <w:r w:rsidRPr="00611C1A" w:rsidR="006C72D3">
        <w:rPr>
          <w:rFonts w:cs="Times New Roman"/>
          <w:b/>
        </w:rPr>
        <w:t xml:space="preserve">ersus English Language </w:t>
      </w:r>
      <w:r w:rsidRPr="00F427BF">
        <w:rPr>
          <w:rFonts w:cs="Times New Roman"/>
          <w:b/>
        </w:rPr>
        <w:t>Alert</w:t>
      </w:r>
      <w:r w:rsidRPr="00262A19" w:rsidR="006C72D3">
        <w:rPr>
          <w:rFonts w:cs="Times New Roman"/>
          <w:b/>
        </w:rPr>
        <w:t>s</w:t>
      </w:r>
      <w:r w:rsidRPr="003F7CA1">
        <w:rPr>
          <w:rFonts w:cs="Times New Roman"/>
          <w:b/>
        </w:rPr>
        <w:t xml:space="preserve"> by Participant Type</w:t>
      </w:r>
    </w:p>
    <w:tbl>
      <w:tblPr>
        <w:tblW w:w="9360" w:type="dxa"/>
        <w:tblInd w:w="93" w:type="dxa"/>
        <w:tblLayout w:type="fixed"/>
        <w:tblLook w:val="0000"/>
      </w:tblPr>
      <w:tblGrid>
        <w:gridCol w:w="2422"/>
        <w:gridCol w:w="1260"/>
        <w:gridCol w:w="1170"/>
        <w:gridCol w:w="1170"/>
        <w:gridCol w:w="1080"/>
        <w:gridCol w:w="1129"/>
        <w:gridCol w:w="1129"/>
      </w:tblGrid>
      <w:tr w14:paraId="1BC76ACA" w14:textId="77777777" w:rsidTr="00AF156C">
        <w:tblPrEx>
          <w:tblW w:w="9360" w:type="dxa"/>
          <w:tblInd w:w="93" w:type="dxa"/>
          <w:tblLayout w:type="fixed"/>
          <w:tblLook w:val="0000"/>
        </w:tblPrEx>
        <w:trPr>
          <w:cantSplit/>
          <w:trHeight w:val="467"/>
        </w:trPr>
        <w:tc>
          <w:tcPr>
            <w:tcW w:w="2422" w:type="dxa"/>
            <w:vMerge w:val="restart"/>
            <w:tcBorders>
              <w:top w:val="single" w:sz="4" w:space="0" w:color="auto"/>
              <w:left w:val="single" w:sz="4" w:space="0" w:color="auto"/>
              <w:right w:val="single" w:sz="4" w:space="0" w:color="auto"/>
            </w:tcBorders>
            <w:shd w:val="clear" w:color="auto" w:fill="C0C0C0"/>
            <w:noWrap/>
            <w:vAlign w:val="bottom"/>
          </w:tcPr>
          <w:p w:rsidR="004D741B" w:rsidRPr="00085542" w:rsidP="00AF156C" w14:paraId="76A17455" w14:textId="77777777">
            <w:pPr>
              <w:keepNext/>
              <w:keepLines/>
              <w:spacing w:after="120"/>
              <w:jc w:val="center"/>
              <w:rPr>
                <w:rFonts w:cs="Times New Roman"/>
                <w:b/>
                <w:color w:val="000000"/>
                <w:kern w:val="0"/>
              </w:rPr>
            </w:pPr>
            <w:bookmarkStart w:id="327" w:name="_Toc477433283"/>
            <w:bookmarkStart w:id="328" w:name="_Toc479002026"/>
            <w:bookmarkStart w:id="329" w:name="_Toc477433482"/>
            <w:r w:rsidRPr="255FCAE1">
              <w:rPr>
                <w:rFonts w:cs="Times New Roman"/>
                <w:b/>
                <w:color w:val="000000"/>
                <w:kern w:val="0"/>
              </w:rPr>
              <w:t>EAS Participant Type</w:t>
            </w:r>
          </w:p>
        </w:tc>
        <w:tc>
          <w:tcPr>
            <w:tcW w:w="3600" w:type="dxa"/>
            <w:gridSpan w:val="3"/>
            <w:tcBorders>
              <w:top w:val="single" w:sz="4" w:space="0" w:color="auto"/>
              <w:left w:val="single" w:sz="4" w:space="0" w:color="auto"/>
              <w:right w:val="single" w:sz="4" w:space="0" w:color="auto"/>
            </w:tcBorders>
            <w:shd w:val="clear" w:color="auto" w:fill="C0C0C0"/>
            <w:vAlign w:val="bottom"/>
          </w:tcPr>
          <w:p w:rsidR="004D741B" w:rsidRPr="00085542" w:rsidP="00AF156C" w14:paraId="2AF8CE33" w14:textId="77777777">
            <w:pPr>
              <w:keepNext/>
              <w:keepLines/>
              <w:spacing w:after="120"/>
              <w:jc w:val="center"/>
              <w:rPr>
                <w:rFonts w:cs="Times New Roman"/>
                <w:b/>
                <w:color w:val="000000"/>
                <w:kern w:val="0"/>
              </w:rPr>
            </w:pPr>
            <w:r w:rsidRPr="255FCAE1">
              <w:rPr>
                <w:rFonts w:cs="Times New Roman"/>
                <w:b/>
                <w:color w:val="000000"/>
                <w:kern w:val="0"/>
              </w:rPr>
              <w:t>Received Alert</w:t>
            </w:r>
          </w:p>
        </w:tc>
        <w:tc>
          <w:tcPr>
            <w:tcW w:w="3338" w:type="dxa"/>
            <w:gridSpan w:val="3"/>
            <w:tcBorders>
              <w:top w:val="single" w:sz="4" w:space="0" w:color="auto"/>
              <w:left w:val="single" w:sz="4" w:space="0" w:color="auto"/>
              <w:right w:val="single" w:sz="4" w:space="0" w:color="auto"/>
            </w:tcBorders>
            <w:shd w:val="clear" w:color="auto" w:fill="C0C0C0"/>
            <w:vAlign w:val="bottom"/>
          </w:tcPr>
          <w:p w:rsidR="004D741B" w:rsidRPr="00085542" w:rsidP="00AF156C" w14:paraId="260B54F8" w14:textId="77777777">
            <w:pPr>
              <w:keepNext/>
              <w:keepLines/>
              <w:spacing w:after="120"/>
              <w:jc w:val="center"/>
              <w:rPr>
                <w:rFonts w:cs="Times New Roman"/>
                <w:b/>
                <w:color w:val="000000"/>
                <w:kern w:val="0"/>
              </w:rPr>
            </w:pPr>
            <w:r w:rsidRPr="255FCAE1">
              <w:rPr>
                <w:rFonts w:cs="Times New Roman"/>
                <w:b/>
                <w:color w:val="000000"/>
                <w:kern w:val="0"/>
              </w:rPr>
              <w:t>Retransmitted Alert</w:t>
            </w:r>
          </w:p>
        </w:tc>
      </w:tr>
      <w:tr w14:paraId="7913E205" w14:textId="77777777" w:rsidTr="00AF156C">
        <w:tblPrEx>
          <w:tblW w:w="9360" w:type="dxa"/>
          <w:tblInd w:w="93" w:type="dxa"/>
          <w:tblLayout w:type="fixed"/>
          <w:tblLook w:val="0000"/>
        </w:tblPrEx>
        <w:trPr>
          <w:cantSplit/>
          <w:trHeight w:val="170"/>
        </w:trPr>
        <w:tc>
          <w:tcPr>
            <w:tcW w:w="2422" w:type="dxa"/>
            <w:vMerge/>
            <w:tcBorders>
              <w:left w:val="single" w:sz="4" w:space="0" w:color="auto"/>
              <w:right w:val="single" w:sz="4" w:space="0" w:color="auto"/>
            </w:tcBorders>
            <w:shd w:val="clear" w:color="auto" w:fill="C0C0C0"/>
            <w:noWrap/>
            <w:vAlign w:val="bottom"/>
          </w:tcPr>
          <w:p w:rsidR="004D741B" w:rsidRPr="00B57342" w:rsidP="00AF156C" w14:paraId="4C587FCE" w14:textId="77777777">
            <w:pPr>
              <w:keepNext/>
              <w:keepLines/>
              <w:spacing w:after="120"/>
              <w:jc w:val="center"/>
              <w:rPr>
                <w:rFonts w:cs="Times New Roman"/>
                <w:b/>
                <w:color w:val="000000"/>
                <w:kern w:val="0"/>
                <w:szCs w:val="22"/>
              </w:rPr>
            </w:pPr>
          </w:p>
        </w:tc>
        <w:tc>
          <w:tcPr>
            <w:tcW w:w="1260" w:type="dxa"/>
            <w:tcBorders>
              <w:top w:val="single" w:sz="4" w:space="0" w:color="auto"/>
              <w:left w:val="single" w:sz="4" w:space="0" w:color="auto"/>
              <w:right w:val="single" w:sz="4" w:space="0" w:color="auto"/>
            </w:tcBorders>
            <w:shd w:val="clear" w:color="auto" w:fill="C0C0C0"/>
            <w:vAlign w:val="bottom"/>
          </w:tcPr>
          <w:p w:rsidR="004D741B" w:rsidRPr="00085542" w:rsidP="00AF156C" w14:paraId="7A2BD30E" w14:textId="77777777">
            <w:pPr>
              <w:keepNext/>
              <w:keepLines/>
              <w:spacing w:after="120"/>
              <w:jc w:val="center"/>
              <w:rPr>
                <w:rFonts w:cs="Times New Roman"/>
                <w:b/>
                <w:color w:val="000000"/>
                <w:kern w:val="0"/>
              </w:rPr>
            </w:pPr>
            <w:r w:rsidRPr="255FCAE1">
              <w:rPr>
                <w:rFonts w:cs="Times New Roman"/>
                <w:b/>
                <w:color w:val="000000"/>
                <w:kern w:val="0"/>
              </w:rPr>
              <w:t>English</w:t>
            </w:r>
          </w:p>
        </w:tc>
        <w:tc>
          <w:tcPr>
            <w:tcW w:w="1170" w:type="dxa"/>
            <w:tcBorders>
              <w:top w:val="single" w:sz="4" w:space="0" w:color="auto"/>
              <w:left w:val="single" w:sz="4" w:space="0" w:color="auto"/>
              <w:right w:val="single" w:sz="4" w:space="0" w:color="auto"/>
            </w:tcBorders>
            <w:shd w:val="clear" w:color="auto" w:fill="C0C0C0"/>
            <w:vAlign w:val="bottom"/>
          </w:tcPr>
          <w:p w:rsidR="004D741B" w:rsidRPr="00085542" w:rsidP="00AF156C" w14:paraId="7E4CBC63" w14:textId="77777777">
            <w:pPr>
              <w:keepNext/>
              <w:keepLines/>
              <w:spacing w:after="120"/>
              <w:jc w:val="center"/>
              <w:rPr>
                <w:rFonts w:cs="Times New Roman"/>
                <w:b/>
                <w:color w:val="000000"/>
                <w:kern w:val="0"/>
              </w:rPr>
            </w:pPr>
            <w:r w:rsidRPr="255FCAE1">
              <w:rPr>
                <w:rFonts w:cs="Times New Roman"/>
                <w:b/>
                <w:color w:val="000000"/>
                <w:kern w:val="0"/>
              </w:rPr>
              <w:t>Spanish</w:t>
            </w:r>
          </w:p>
        </w:tc>
        <w:tc>
          <w:tcPr>
            <w:tcW w:w="1170" w:type="dxa"/>
            <w:tcBorders>
              <w:top w:val="single" w:sz="4" w:space="0" w:color="auto"/>
              <w:left w:val="single" w:sz="4" w:space="0" w:color="auto"/>
              <w:right w:val="single" w:sz="4" w:space="0" w:color="auto"/>
            </w:tcBorders>
            <w:shd w:val="clear" w:color="auto" w:fill="C0C0C0"/>
            <w:vAlign w:val="bottom"/>
          </w:tcPr>
          <w:p w:rsidR="004D741B" w:rsidRPr="00085542" w:rsidP="00AF156C" w14:paraId="60E42F5A" w14:textId="77777777">
            <w:pPr>
              <w:keepNext/>
              <w:keepLines/>
              <w:spacing w:after="120"/>
              <w:jc w:val="center"/>
              <w:rPr>
                <w:rFonts w:cs="Times New Roman"/>
                <w:b/>
                <w:color w:val="000000"/>
                <w:kern w:val="0"/>
              </w:rPr>
            </w:pPr>
            <w:r w:rsidRPr="255FCAE1">
              <w:rPr>
                <w:rFonts w:cs="Times New Roman"/>
                <w:b/>
                <w:color w:val="000000"/>
                <w:kern w:val="0"/>
              </w:rPr>
              <w:t>English and Spanish</w:t>
            </w:r>
          </w:p>
        </w:tc>
        <w:tc>
          <w:tcPr>
            <w:tcW w:w="1080" w:type="dxa"/>
            <w:tcBorders>
              <w:top w:val="single" w:sz="4" w:space="0" w:color="auto"/>
              <w:left w:val="single" w:sz="4" w:space="0" w:color="auto"/>
              <w:right w:val="single" w:sz="4" w:space="0" w:color="auto"/>
            </w:tcBorders>
            <w:shd w:val="clear" w:color="auto" w:fill="C0C0C0"/>
            <w:vAlign w:val="bottom"/>
          </w:tcPr>
          <w:p w:rsidR="004D741B" w:rsidRPr="00085542" w:rsidP="00AF156C" w14:paraId="2CF9869C" w14:textId="77777777">
            <w:pPr>
              <w:keepNext/>
              <w:keepLines/>
              <w:spacing w:after="120"/>
              <w:jc w:val="center"/>
              <w:rPr>
                <w:rFonts w:cs="Times New Roman"/>
                <w:b/>
                <w:color w:val="000000"/>
                <w:kern w:val="0"/>
              </w:rPr>
            </w:pPr>
            <w:r w:rsidRPr="255FCAE1">
              <w:rPr>
                <w:rFonts w:cs="Times New Roman"/>
                <w:b/>
                <w:color w:val="000000"/>
                <w:kern w:val="0"/>
              </w:rPr>
              <w:t>English</w:t>
            </w:r>
          </w:p>
        </w:tc>
        <w:tc>
          <w:tcPr>
            <w:tcW w:w="1129" w:type="dxa"/>
            <w:tcBorders>
              <w:top w:val="single" w:sz="4" w:space="0" w:color="auto"/>
              <w:left w:val="single" w:sz="4" w:space="0" w:color="auto"/>
              <w:right w:val="single" w:sz="4" w:space="0" w:color="auto"/>
            </w:tcBorders>
            <w:shd w:val="clear" w:color="auto" w:fill="C0C0C0"/>
            <w:vAlign w:val="bottom"/>
          </w:tcPr>
          <w:p w:rsidR="004D741B" w:rsidRPr="00085542" w:rsidP="00AF156C" w14:paraId="7BADCC42" w14:textId="77777777">
            <w:pPr>
              <w:keepNext/>
              <w:keepLines/>
              <w:spacing w:after="120"/>
              <w:jc w:val="center"/>
              <w:rPr>
                <w:rFonts w:cs="Times New Roman"/>
                <w:b/>
                <w:color w:val="000000"/>
                <w:kern w:val="0"/>
              </w:rPr>
            </w:pPr>
            <w:r w:rsidRPr="255FCAE1">
              <w:rPr>
                <w:rFonts w:cs="Times New Roman"/>
                <w:b/>
                <w:color w:val="000000"/>
                <w:kern w:val="0"/>
              </w:rPr>
              <w:t>Spanish</w:t>
            </w:r>
          </w:p>
        </w:tc>
        <w:tc>
          <w:tcPr>
            <w:tcW w:w="1129" w:type="dxa"/>
            <w:tcBorders>
              <w:top w:val="single" w:sz="4" w:space="0" w:color="auto"/>
              <w:left w:val="single" w:sz="4" w:space="0" w:color="auto"/>
              <w:right w:val="single" w:sz="4" w:space="0" w:color="auto"/>
            </w:tcBorders>
            <w:shd w:val="clear" w:color="auto" w:fill="C0C0C0"/>
            <w:vAlign w:val="bottom"/>
          </w:tcPr>
          <w:p w:rsidR="004D741B" w:rsidRPr="00085542" w:rsidP="00AF156C" w14:paraId="55820C04" w14:textId="77777777">
            <w:pPr>
              <w:keepNext/>
              <w:keepLines/>
              <w:spacing w:after="120"/>
              <w:jc w:val="center"/>
              <w:rPr>
                <w:rFonts w:cs="Times New Roman"/>
                <w:b/>
                <w:color w:val="000000"/>
                <w:kern w:val="0"/>
              </w:rPr>
            </w:pPr>
            <w:r w:rsidRPr="255FCAE1">
              <w:rPr>
                <w:rFonts w:cs="Times New Roman"/>
                <w:b/>
                <w:color w:val="000000"/>
                <w:kern w:val="0"/>
              </w:rPr>
              <w:t>English and Spanish</w:t>
            </w:r>
          </w:p>
        </w:tc>
      </w:tr>
      <w:tr w14:paraId="3EA54C59" w14:textId="77777777" w:rsidTr="00AF156C">
        <w:tblPrEx>
          <w:tblW w:w="9360" w:type="dxa"/>
          <w:tblInd w:w="93" w:type="dxa"/>
          <w:tblLayout w:type="fixed"/>
          <w:tblLook w:val="0000"/>
        </w:tblPrEx>
        <w:trPr>
          <w:cantSplit/>
          <w:trHeight w:val="253"/>
        </w:trPr>
        <w:tc>
          <w:tcPr>
            <w:tcW w:w="2422" w:type="dxa"/>
            <w:tcBorders>
              <w:top w:val="nil"/>
              <w:left w:val="single" w:sz="4" w:space="0" w:color="auto"/>
              <w:bottom w:val="single" w:sz="4" w:space="0" w:color="auto"/>
              <w:right w:val="single" w:sz="4" w:space="0" w:color="auto"/>
            </w:tcBorders>
            <w:vAlign w:val="bottom"/>
          </w:tcPr>
          <w:p w:rsidR="00F07786" w:rsidRPr="00C32047" w:rsidP="00F07786" w14:paraId="0AD2E197" w14:textId="77777777">
            <w:pPr>
              <w:keepNext/>
              <w:keepLines/>
              <w:spacing w:after="120"/>
              <w:jc w:val="right"/>
              <w:rPr>
                <w:rFonts w:cs="Times New Roman"/>
                <w:color w:val="000000"/>
                <w:kern w:val="0"/>
              </w:rPr>
            </w:pPr>
            <w:r w:rsidRPr="00785A17">
              <w:rPr>
                <w:rFonts w:cs="Times New Roman"/>
                <w:color w:val="000000"/>
                <w:kern w:val="0"/>
              </w:rPr>
              <w:t>Radio Broadcasters</w:t>
            </w:r>
          </w:p>
        </w:tc>
        <w:tc>
          <w:tcPr>
            <w:tcW w:w="1260" w:type="dxa"/>
            <w:tcBorders>
              <w:top w:val="nil"/>
              <w:left w:val="single" w:sz="4" w:space="0" w:color="auto"/>
              <w:bottom w:val="single" w:sz="4" w:space="0" w:color="auto"/>
              <w:right w:val="single" w:sz="4" w:space="0" w:color="auto"/>
            </w:tcBorders>
            <w:vAlign w:val="bottom"/>
          </w:tcPr>
          <w:p w:rsidR="00F07786" w:rsidRPr="00F07786" w:rsidP="00F07786" w14:paraId="5725166D" w14:textId="77777777">
            <w:pPr>
              <w:keepNext/>
              <w:keepLines/>
              <w:spacing w:after="120"/>
              <w:jc w:val="center"/>
              <w:rPr>
                <w:rFonts w:cs="Times New Roman"/>
                <w:color w:val="000000"/>
                <w:kern w:val="0"/>
              </w:rPr>
            </w:pPr>
            <w:r w:rsidRPr="00F07786">
              <w:rPr>
                <w:rFonts w:cs="Times New Roman"/>
                <w:color w:val="000000"/>
                <w:kern w:val="0"/>
              </w:rPr>
              <w:t>11548</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44DA32C2" w14:textId="77777777">
            <w:pPr>
              <w:keepNext/>
              <w:keepLines/>
              <w:spacing w:after="120"/>
              <w:jc w:val="center"/>
              <w:rPr>
                <w:rFonts w:cs="Times New Roman"/>
                <w:color w:val="000000"/>
                <w:kern w:val="0"/>
              </w:rPr>
            </w:pPr>
            <w:r w:rsidRPr="00F07786">
              <w:rPr>
                <w:rFonts w:cs="Times New Roman"/>
                <w:color w:val="000000"/>
                <w:kern w:val="0"/>
              </w:rPr>
              <w:t>65</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01DA0A2E" w14:textId="77777777">
            <w:pPr>
              <w:keepNext/>
              <w:keepLines/>
              <w:spacing w:after="120"/>
              <w:jc w:val="center"/>
              <w:rPr>
                <w:rFonts w:cs="Times New Roman"/>
                <w:color w:val="000000"/>
                <w:kern w:val="0"/>
              </w:rPr>
            </w:pPr>
            <w:r w:rsidRPr="00F07786">
              <w:rPr>
                <w:rFonts w:cs="Times New Roman"/>
                <w:color w:val="000000"/>
                <w:kern w:val="0"/>
              </w:rPr>
              <w:t>54</w:t>
            </w:r>
          </w:p>
        </w:tc>
        <w:tc>
          <w:tcPr>
            <w:tcW w:w="1080" w:type="dxa"/>
            <w:tcBorders>
              <w:top w:val="nil"/>
              <w:left w:val="single" w:sz="4" w:space="0" w:color="auto"/>
              <w:bottom w:val="single" w:sz="4" w:space="0" w:color="auto"/>
              <w:right w:val="single" w:sz="4" w:space="0" w:color="auto"/>
            </w:tcBorders>
            <w:vAlign w:val="bottom"/>
          </w:tcPr>
          <w:p w:rsidR="00F07786" w:rsidRPr="00F07786" w:rsidP="00F07786" w14:paraId="24C5480D" w14:textId="77777777">
            <w:pPr>
              <w:keepNext/>
              <w:keepLines/>
              <w:spacing w:after="120"/>
              <w:jc w:val="center"/>
              <w:rPr>
                <w:rFonts w:cs="Times New Roman"/>
                <w:color w:val="000000"/>
                <w:kern w:val="0"/>
              </w:rPr>
            </w:pPr>
            <w:r w:rsidRPr="00F07786">
              <w:rPr>
                <w:rFonts w:cs="Times New Roman"/>
                <w:color w:val="000000"/>
                <w:kern w:val="0"/>
              </w:rPr>
              <w:t>11230</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3F69DD30" w14:textId="77777777">
            <w:pPr>
              <w:keepNext/>
              <w:keepLines/>
              <w:spacing w:after="120"/>
              <w:jc w:val="center"/>
              <w:rPr>
                <w:rFonts w:cs="Times New Roman"/>
                <w:color w:val="000000"/>
                <w:kern w:val="0"/>
              </w:rPr>
            </w:pPr>
            <w:r w:rsidRPr="00F07786">
              <w:rPr>
                <w:rFonts w:cs="Times New Roman"/>
                <w:color w:val="000000"/>
                <w:kern w:val="0"/>
              </w:rPr>
              <w:t>103</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5B574956" w14:textId="77777777">
            <w:pPr>
              <w:keepNext/>
              <w:keepLines/>
              <w:spacing w:after="120"/>
              <w:jc w:val="center"/>
              <w:rPr>
                <w:rFonts w:cs="Times New Roman"/>
                <w:color w:val="000000"/>
                <w:kern w:val="0"/>
              </w:rPr>
            </w:pPr>
            <w:r w:rsidRPr="00F07786">
              <w:rPr>
                <w:rFonts w:cs="Times New Roman"/>
                <w:color w:val="000000"/>
                <w:kern w:val="0"/>
              </w:rPr>
              <w:t>18</w:t>
            </w:r>
          </w:p>
        </w:tc>
      </w:tr>
      <w:tr w14:paraId="51BF0602" w14:textId="77777777" w:rsidTr="00AF156C">
        <w:tblPrEx>
          <w:tblW w:w="9360" w:type="dxa"/>
          <w:tblInd w:w="93" w:type="dxa"/>
          <w:tblLayout w:type="fixed"/>
          <w:tblLook w:val="0000"/>
        </w:tblPrEx>
        <w:trPr>
          <w:cantSplit/>
          <w:trHeight w:val="253"/>
        </w:trPr>
        <w:tc>
          <w:tcPr>
            <w:tcW w:w="2422" w:type="dxa"/>
            <w:tcBorders>
              <w:top w:val="nil"/>
              <w:left w:val="single" w:sz="4" w:space="0" w:color="auto"/>
              <w:bottom w:val="single" w:sz="4" w:space="0" w:color="auto"/>
              <w:right w:val="single" w:sz="4" w:space="0" w:color="auto"/>
            </w:tcBorders>
            <w:shd w:val="clear" w:color="auto" w:fill="FFFFFF" w:themeFill="background1"/>
            <w:vAlign w:val="bottom"/>
          </w:tcPr>
          <w:p w:rsidR="00F07786" w:rsidRPr="00E23F3C" w:rsidP="00F07786" w14:paraId="666EBF95" w14:textId="77777777">
            <w:pPr>
              <w:keepNext/>
              <w:keepLines/>
              <w:spacing w:after="120"/>
              <w:jc w:val="right"/>
              <w:rPr>
                <w:rFonts w:cs="Times New Roman"/>
                <w:color w:val="000000"/>
                <w:kern w:val="0"/>
              </w:rPr>
            </w:pPr>
            <w:r w:rsidRPr="00785A17">
              <w:rPr>
                <w:rFonts w:cs="Times New Roman"/>
                <w:color w:val="000000"/>
                <w:kern w:val="0"/>
              </w:rPr>
              <w:t xml:space="preserve">Television </w:t>
            </w:r>
            <w:r w:rsidRPr="00C32047">
              <w:rPr>
                <w:rFonts w:cs="Times New Roman"/>
                <w:color w:val="000000"/>
                <w:kern w:val="0"/>
              </w:rPr>
              <w:t>Broadcasters</w:t>
            </w:r>
          </w:p>
        </w:tc>
        <w:tc>
          <w:tcPr>
            <w:tcW w:w="1260" w:type="dxa"/>
            <w:tcBorders>
              <w:top w:val="nil"/>
              <w:left w:val="single" w:sz="4" w:space="0" w:color="auto"/>
              <w:bottom w:val="single" w:sz="4" w:space="0" w:color="auto"/>
              <w:right w:val="single" w:sz="4" w:space="0" w:color="auto"/>
            </w:tcBorders>
            <w:shd w:val="clear" w:color="auto" w:fill="FFFFFF" w:themeFill="background1"/>
            <w:vAlign w:val="bottom"/>
          </w:tcPr>
          <w:p w:rsidR="00F07786" w:rsidRPr="00F07786" w:rsidP="00F07786" w14:paraId="41B89B62" w14:textId="77777777">
            <w:pPr>
              <w:keepNext/>
              <w:keepLines/>
              <w:spacing w:after="120"/>
              <w:jc w:val="center"/>
              <w:rPr>
                <w:rFonts w:cs="Times New Roman"/>
                <w:color w:val="000000"/>
                <w:kern w:val="0"/>
              </w:rPr>
            </w:pPr>
            <w:r w:rsidRPr="00F07786">
              <w:rPr>
                <w:rFonts w:cs="Times New Roman"/>
                <w:color w:val="000000"/>
                <w:kern w:val="0"/>
              </w:rPr>
              <w:t>208</w:t>
            </w:r>
            <w:r w:rsidR="00A532A6">
              <w:rPr>
                <w:rFonts w:cs="Times New Roman"/>
                <w:color w:val="000000"/>
                <w:kern w:val="0"/>
              </w:rPr>
              <w:t>5</w:t>
            </w:r>
          </w:p>
        </w:tc>
        <w:tc>
          <w:tcPr>
            <w:tcW w:w="1170" w:type="dxa"/>
            <w:tcBorders>
              <w:top w:val="nil"/>
              <w:left w:val="single" w:sz="4" w:space="0" w:color="auto"/>
              <w:bottom w:val="single" w:sz="4" w:space="0" w:color="auto"/>
              <w:right w:val="single" w:sz="4" w:space="0" w:color="auto"/>
            </w:tcBorders>
            <w:shd w:val="clear" w:color="auto" w:fill="FFFFFF" w:themeFill="background1"/>
            <w:vAlign w:val="bottom"/>
          </w:tcPr>
          <w:p w:rsidR="00F07786" w:rsidRPr="00F07786" w:rsidP="00F07786" w14:paraId="622DD9CA" w14:textId="77777777">
            <w:pPr>
              <w:keepNext/>
              <w:keepLines/>
              <w:spacing w:after="120"/>
              <w:jc w:val="center"/>
              <w:rPr>
                <w:rFonts w:cs="Times New Roman"/>
                <w:color w:val="000000"/>
                <w:kern w:val="0"/>
              </w:rPr>
            </w:pPr>
            <w:r w:rsidRPr="00F07786">
              <w:rPr>
                <w:rFonts w:cs="Times New Roman"/>
                <w:color w:val="000000"/>
                <w:kern w:val="0"/>
              </w:rPr>
              <w:t>10</w:t>
            </w:r>
          </w:p>
        </w:tc>
        <w:tc>
          <w:tcPr>
            <w:tcW w:w="1170" w:type="dxa"/>
            <w:tcBorders>
              <w:top w:val="nil"/>
              <w:left w:val="single" w:sz="4" w:space="0" w:color="auto"/>
              <w:bottom w:val="single" w:sz="4" w:space="0" w:color="auto"/>
              <w:right w:val="single" w:sz="4" w:space="0" w:color="auto"/>
            </w:tcBorders>
            <w:shd w:val="clear" w:color="auto" w:fill="FFFFFF" w:themeFill="background1"/>
            <w:vAlign w:val="bottom"/>
          </w:tcPr>
          <w:p w:rsidR="00F07786" w:rsidRPr="00F07786" w:rsidP="00F07786" w14:paraId="1408F666" w14:textId="77777777">
            <w:pPr>
              <w:keepNext/>
              <w:keepLines/>
              <w:spacing w:after="120"/>
              <w:jc w:val="center"/>
              <w:rPr>
                <w:rFonts w:cs="Times New Roman"/>
                <w:color w:val="000000"/>
                <w:kern w:val="0"/>
              </w:rPr>
            </w:pPr>
            <w:r w:rsidRPr="00F07786">
              <w:rPr>
                <w:rFonts w:cs="Times New Roman"/>
                <w:color w:val="000000"/>
                <w:kern w:val="0"/>
              </w:rPr>
              <w:t>41</w:t>
            </w:r>
          </w:p>
        </w:tc>
        <w:tc>
          <w:tcPr>
            <w:tcW w:w="1080" w:type="dxa"/>
            <w:tcBorders>
              <w:top w:val="nil"/>
              <w:left w:val="single" w:sz="4" w:space="0" w:color="auto"/>
              <w:bottom w:val="single" w:sz="4" w:space="0" w:color="auto"/>
              <w:right w:val="single" w:sz="4" w:space="0" w:color="auto"/>
            </w:tcBorders>
            <w:shd w:val="clear" w:color="auto" w:fill="FFFFFF" w:themeFill="background1"/>
            <w:vAlign w:val="bottom"/>
          </w:tcPr>
          <w:p w:rsidR="00F07786" w:rsidRPr="00F07786" w:rsidP="00F07786" w14:paraId="36E15CA1" w14:textId="77777777">
            <w:pPr>
              <w:keepNext/>
              <w:keepLines/>
              <w:spacing w:after="120"/>
              <w:jc w:val="center"/>
              <w:rPr>
                <w:rFonts w:cs="Times New Roman"/>
                <w:color w:val="000000"/>
                <w:kern w:val="0"/>
              </w:rPr>
            </w:pPr>
            <w:r w:rsidRPr="00F07786">
              <w:rPr>
                <w:rFonts w:cs="Times New Roman"/>
                <w:color w:val="000000"/>
                <w:kern w:val="0"/>
              </w:rPr>
              <w:t>1958</w:t>
            </w:r>
          </w:p>
        </w:tc>
        <w:tc>
          <w:tcPr>
            <w:tcW w:w="1129" w:type="dxa"/>
            <w:tcBorders>
              <w:top w:val="nil"/>
              <w:left w:val="single" w:sz="4" w:space="0" w:color="auto"/>
              <w:bottom w:val="single" w:sz="4" w:space="0" w:color="auto"/>
              <w:right w:val="single" w:sz="4" w:space="0" w:color="auto"/>
            </w:tcBorders>
            <w:shd w:val="clear" w:color="auto" w:fill="FFFFFF" w:themeFill="background1"/>
            <w:vAlign w:val="bottom"/>
          </w:tcPr>
          <w:p w:rsidR="00F07786" w:rsidRPr="00F07786" w:rsidP="00F07786" w14:paraId="7EAB6174" w14:textId="77777777">
            <w:pPr>
              <w:keepNext/>
              <w:keepLines/>
              <w:spacing w:after="120"/>
              <w:jc w:val="center"/>
              <w:rPr>
                <w:rFonts w:cs="Times New Roman"/>
                <w:color w:val="000000"/>
                <w:kern w:val="0"/>
              </w:rPr>
            </w:pPr>
            <w:r w:rsidRPr="00F07786">
              <w:rPr>
                <w:rFonts w:cs="Times New Roman"/>
                <w:color w:val="000000"/>
                <w:kern w:val="0"/>
              </w:rPr>
              <w:t>20</w:t>
            </w:r>
          </w:p>
        </w:tc>
        <w:tc>
          <w:tcPr>
            <w:tcW w:w="1129" w:type="dxa"/>
            <w:tcBorders>
              <w:top w:val="nil"/>
              <w:left w:val="single" w:sz="4" w:space="0" w:color="auto"/>
              <w:bottom w:val="single" w:sz="4" w:space="0" w:color="auto"/>
              <w:right w:val="single" w:sz="4" w:space="0" w:color="auto"/>
            </w:tcBorders>
            <w:shd w:val="clear" w:color="auto" w:fill="FFFFFF" w:themeFill="background1"/>
            <w:vAlign w:val="bottom"/>
          </w:tcPr>
          <w:p w:rsidR="00F07786" w:rsidRPr="00F07786" w:rsidP="00F07786" w14:paraId="0FC69E99" w14:textId="77777777">
            <w:pPr>
              <w:keepNext/>
              <w:keepLines/>
              <w:spacing w:after="120"/>
              <w:jc w:val="center"/>
              <w:rPr>
                <w:rFonts w:cs="Times New Roman"/>
                <w:color w:val="000000"/>
                <w:kern w:val="0"/>
              </w:rPr>
            </w:pPr>
            <w:r w:rsidRPr="00F07786">
              <w:rPr>
                <w:rFonts w:cs="Times New Roman"/>
                <w:color w:val="000000"/>
                <w:kern w:val="0"/>
              </w:rPr>
              <w:t>45</w:t>
            </w:r>
          </w:p>
        </w:tc>
      </w:tr>
      <w:tr w14:paraId="75482B8E" w14:textId="77777777" w:rsidTr="00AF156C">
        <w:tblPrEx>
          <w:tblW w:w="9360" w:type="dxa"/>
          <w:tblInd w:w="93" w:type="dxa"/>
          <w:tblLayout w:type="fixed"/>
          <w:tblLook w:val="0000"/>
        </w:tblPrEx>
        <w:trPr>
          <w:cantSplit/>
          <w:trHeight w:val="253"/>
        </w:trPr>
        <w:tc>
          <w:tcPr>
            <w:tcW w:w="2422" w:type="dxa"/>
            <w:tcBorders>
              <w:left w:val="single" w:sz="4" w:space="0" w:color="auto"/>
              <w:bottom w:val="single" w:sz="4" w:space="0" w:color="auto"/>
              <w:right w:val="single" w:sz="4" w:space="0" w:color="auto"/>
            </w:tcBorders>
            <w:vAlign w:val="bottom"/>
          </w:tcPr>
          <w:p w:rsidR="00F07786" w:rsidRPr="00C32047" w:rsidP="00F07786" w14:paraId="28565DEF" w14:textId="77777777">
            <w:pPr>
              <w:keepNext/>
              <w:keepLines/>
              <w:spacing w:after="120"/>
              <w:jc w:val="right"/>
              <w:rPr>
                <w:rFonts w:cs="Times New Roman"/>
                <w:color w:val="000000"/>
                <w:kern w:val="0"/>
              </w:rPr>
            </w:pPr>
            <w:r w:rsidRPr="00785A17">
              <w:rPr>
                <w:rFonts w:cs="Times New Roman"/>
                <w:color w:val="000000"/>
                <w:kern w:val="0"/>
              </w:rPr>
              <w:t>Cable Systems</w:t>
            </w:r>
          </w:p>
        </w:tc>
        <w:tc>
          <w:tcPr>
            <w:tcW w:w="1260" w:type="dxa"/>
            <w:tcBorders>
              <w:top w:val="nil"/>
              <w:left w:val="single" w:sz="4" w:space="0" w:color="auto"/>
              <w:bottom w:val="single" w:sz="4" w:space="0" w:color="auto"/>
              <w:right w:val="single" w:sz="4" w:space="0" w:color="auto"/>
            </w:tcBorders>
            <w:vAlign w:val="bottom"/>
          </w:tcPr>
          <w:p w:rsidR="00F07786" w:rsidRPr="00F07786" w:rsidP="00F07786" w14:paraId="145E602F" w14:textId="77777777">
            <w:pPr>
              <w:keepNext/>
              <w:keepLines/>
              <w:spacing w:after="120"/>
              <w:jc w:val="center"/>
              <w:rPr>
                <w:rFonts w:cs="Times New Roman"/>
                <w:color w:val="000000"/>
                <w:kern w:val="0"/>
              </w:rPr>
            </w:pPr>
            <w:r w:rsidRPr="00F07786">
              <w:rPr>
                <w:rFonts w:cs="Times New Roman"/>
                <w:color w:val="000000"/>
                <w:kern w:val="0"/>
              </w:rPr>
              <w:t>2033</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039CB40F" w14:textId="77777777">
            <w:pPr>
              <w:keepNext/>
              <w:keepLines/>
              <w:spacing w:after="120"/>
              <w:jc w:val="center"/>
              <w:rPr>
                <w:rFonts w:cs="Times New Roman"/>
                <w:color w:val="000000"/>
                <w:kern w:val="0"/>
              </w:rPr>
            </w:pPr>
            <w:r w:rsidRPr="00F07786">
              <w:rPr>
                <w:rFonts w:cs="Times New Roman"/>
                <w:color w:val="000000"/>
                <w:kern w:val="0"/>
              </w:rPr>
              <w:t>0</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2DB453C8" w14:textId="77777777">
            <w:pPr>
              <w:keepNext/>
              <w:keepLines/>
              <w:spacing w:after="120"/>
              <w:jc w:val="center"/>
              <w:rPr>
                <w:rFonts w:cs="Times New Roman"/>
                <w:color w:val="000000"/>
                <w:kern w:val="0"/>
              </w:rPr>
            </w:pPr>
            <w:r w:rsidRPr="00F07786">
              <w:rPr>
                <w:rFonts w:cs="Times New Roman"/>
                <w:color w:val="000000"/>
                <w:kern w:val="0"/>
              </w:rPr>
              <w:t>572</w:t>
            </w:r>
          </w:p>
        </w:tc>
        <w:tc>
          <w:tcPr>
            <w:tcW w:w="1080" w:type="dxa"/>
            <w:tcBorders>
              <w:top w:val="nil"/>
              <w:left w:val="single" w:sz="4" w:space="0" w:color="auto"/>
              <w:bottom w:val="single" w:sz="4" w:space="0" w:color="auto"/>
              <w:right w:val="single" w:sz="4" w:space="0" w:color="auto"/>
            </w:tcBorders>
            <w:vAlign w:val="bottom"/>
          </w:tcPr>
          <w:p w:rsidR="00F07786" w:rsidRPr="00F07786" w:rsidP="00F07786" w14:paraId="79FED933" w14:textId="77777777">
            <w:pPr>
              <w:keepNext/>
              <w:keepLines/>
              <w:spacing w:after="120"/>
              <w:jc w:val="center"/>
              <w:rPr>
                <w:rFonts w:cs="Times New Roman"/>
                <w:color w:val="000000"/>
                <w:kern w:val="0"/>
              </w:rPr>
            </w:pPr>
            <w:r w:rsidRPr="00F07786">
              <w:rPr>
                <w:rFonts w:cs="Times New Roman"/>
                <w:color w:val="000000"/>
                <w:kern w:val="0"/>
              </w:rPr>
              <w:t>1868</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40DF668C" w14:textId="77777777">
            <w:pPr>
              <w:keepNext/>
              <w:keepLines/>
              <w:spacing w:after="120"/>
              <w:jc w:val="center"/>
              <w:rPr>
                <w:rFonts w:cs="Times New Roman"/>
                <w:color w:val="000000"/>
                <w:kern w:val="0"/>
              </w:rPr>
            </w:pPr>
            <w:r w:rsidRPr="00F07786">
              <w:rPr>
                <w:rFonts w:cs="Times New Roman"/>
                <w:color w:val="000000"/>
                <w:kern w:val="0"/>
              </w:rPr>
              <w:t>0</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556DEDC9" w14:textId="77777777">
            <w:pPr>
              <w:keepNext/>
              <w:keepLines/>
              <w:spacing w:after="120"/>
              <w:jc w:val="center"/>
              <w:rPr>
                <w:rFonts w:cs="Times New Roman"/>
                <w:color w:val="000000"/>
                <w:kern w:val="0"/>
              </w:rPr>
            </w:pPr>
            <w:r w:rsidRPr="00F07786">
              <w:rPr>
                <w:rFonts w:cs="Times New Roman"/>
                <w:color w:val="000000"/>
                <w:kern w:val="0"/>
              </w:rPr>
              <w:t>555</w:t>
            </w:r>
          </w:p>
        </w:tc>
      </w:tr>
      <w:tr w14:paraId="4CE69E5A" w14:textId="77777777" w:rsidTr="00AF156C">
        <w:tblPrEx>
          <w:tblW w:w="9360" w:type="dxa"/>
          <w:tblInd w:w="93" w:type="dxa"/>
          <w:tblLayout w:type="fixed"/>
          <w:tblLook w:val="0000"/>
        </w:tblPrEx>
        <w:trPr>
          <w:cantSplit/>
          <w:trHeight w:val="440"/>
        </w:trPr>
        <w:tc>
          <w:tcPr>
            <w:tcW w:w="2422" w:type="dxa"/>
            <w:tcBorders>
              <w:top w:val="nil"/>
              <w:left w:val="single" w:sz="4" w:space="0" w:color="auto"/>
              <w:bottom w:val="single" w:sz="4" w:space="0" w:color="auto"/>
              <w:right w:val="single" w:sz="4" w:space="0" w:color="auto"/>
            </w:tcBorders>
            <w:vAlign w:val="bottom"/>
          </w:tcPr>
          <w:p w:rsidR="00F07786" w:rsidRPr="00785A17" w:rsidP="00F07786" w14:paraId="6DA67E99" w14:textId="77777777">
            <w:pPr>
              <w:keepNext/>
              <w:keepLines/>
              <w:spacing w:after="120"/>
              <w:jc w:val="right"/>
              <w:rPr>
                <w:rFonts w:cs="Times New Roman"/>
                <w:color w:val="000000"/>
                <w:kern w:val="0"/>
              </w:rPr>
            </w:pPr>
            <w:r w:rsidRPr="005B7CDC">
              <w:rPr>
                <w:rFonts w:cs="Times New Roman"/>
                <w:color w:val="000000"/>
                <w:kern w:val="0"/>
              </w:rPr>
              <w:t>IPTV Provider</w:t>
            </w:r>
            <w:r w:rsidR="00A70222">
              <w:rPr>
                <w:rFonts w:cs="Times New Roman"/>
                <w:color w:val="000000"/>
                <w:kern w:val="0"/>
              </w:rPr>
              <w:t>s</w:t>
            </w:r>
          </w:p>
        </w:tc>
        <w:tc>
          <w:tcPr>
            <w:tcW w:w="1260" w:type="dxa"/>
            <w:tcBorders>
              <w:top w:val="nil"/>
              <w:left w:val="single" w:sz="4" w:space="0" w:color="auto"/>
              <w:bottom w:val="single" w:sz="4" w:space="0" w:color="auto"/>
              <w:right w:val="single" w:sz="4" w:space="0" w:color="auto"/>
            </w:tcBorders>
            <w:vAlign w:val="bottom"/>
          </w:tcPr>
          <w:p w:rsidR="00F07786" w:rsidRPr="00F07786" w:rsidP="00F07786" w14:paraId="2753AE3E" w14:textId="77777777">
            <w:pPr>
              <w:keepNext/>
              <w:keepLines/>
              <w:spacing w:after="120"/>
              <w:jc w:val="center"/>
              <w:rPr>
                <w:rFonts w:cs="Times New Roman"/>
                <w:color w:val="000000"/>
                <w:kern w:val="0"/>
              </w:rPr>
            </w:pPr>
            <w:r w:rsidRPr="00F07786">
              <w:rPr>
                <w:rFonts w:cs="Times New Roman"/>
                <w:color w:val="000000"/>
                <w:kern w:val="0"/>
              </w:rPr>
              <w:t>224</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50504156" w14:textId="77777777">
            <w:pPr>
              <w:keepNext/>
              <w:keepLines/>
              <w:spacing w:after="120"/>
              <w:jc w:val="center"/>
              <w:rPr>
                <w:rFonts w:cs="Times New Roman"/>
                <w:color w:val="000000"/>
                <w:kern w:val="0"/>
              </w:rPr>
            </w:pPr>
            <w:r w:rsidRPr="00F07786">
              <w:rPr>
                <w:rFonts w:cs="Times New Roman"/>
                <w:color w:val="000000"/>
                <w:kern w:val="0"/>
              </w:rPr>
              <w:t>0</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31E75EA7" w14:textId="77777777">
            <w:pPr>
              <w:keepNext/>
              <w:keepLines/>
              <w:spacing w:after="120"/>
              <w:jc w:val="center"/>
              <w:rPr>
                <w:rFonts w:cs="Times New Roman"/>
                <w:color w:val="000000"/>
                <w:kern w:val="0"/>
              </w:rPr>
            </w:pPr>
            <w:r w:rsidRPr="00F07786">
              <w:rPr>
                <w:rFonts w:cs="Times New Roman"/>
                <w:color w:val="000000"/>
                <w:kern w:val="0"/>
              </w:rPr>
              <w:t>7</w:t>
            </w:r>
          </w:p>
        </w:tc>
        <w:tc>
          <w:tcPr>
            <w:tcW w:w="1080" w:type="dxa"/>
            <w:tcBorders>
              <w:top w:val="nil"/>
              <w:left w:val="single" w:sz="4" w:space="0" w:color="auto"/>
              <w:bottom w:val="single" w:sz="4" w:space="0" w:color="auto"/>
              <w:right w:val="single" w:sz="4" w:space="0" w:color="auto"/>
            </w:tcBorders>
            <w:vAlign w:val="bottom"/>
          </w:tcPr>
          <w:p w:rsidR="00F07786" w:rsidRPr="00F07786" w:rsidP="00F07786" w14:paraId="1427016A" w14:textId="77777777">
            <w:pPr>
              <w:keepNext/>
              <w:keepLines/>
              <w:spacing w:after="120"/>
              <w:jc w:val="center"/>
              <w:rPr>
                <w:rFonts w:cs="Times New Roman"/>
                <w:color w:val="000000"/>
                <w:kern w:val="0"/>
              </w:rPr>
            </w:pPr>
            <w:r w:rsidRPr="00F07786">
              <w:rPr>
                <w:rFonts w:cs="Times New Roman"/>
                <w:color w:val="000000"/>
                <w:kern w:val="0"/>
              </w:rPr>
              <w:t>210</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376E03B2" w14:textId="77777777">
            <w:pPr>
              <w:keepNext/>
              <w:keepLines/>
              <w:spacing w:after="120"/>
              <w:jc w:val="center"/>
              <w:rPr>
                <w:rFonts w:cs="Times New Roman"/>
                <w:color w:val="000000"/>
                <w:kern w:val="0"/>
              </w:rPr>
            </w:pPr>
            <w:r w:rsidRPr="00F07786">
              <w:rPr>
                <w:rFonts w:cs="Times New Roman"/>
                <w:color w:val="000000"/>
                <w:kern w:val="0"/>
              </w:rPr>
              <w:t>0</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12908262" w14:textId="77777777">
            <w:pPr>
              <w:keepNext/>
              <w:keepLines/>
              <w:spacing w:after="120"/>
              <w:jc w:val="center"/>
              <w:rPr>
                <w:rFonts w:cs="Times New Roman"/>
                <w:color w:val="000000"/>
                <w:kern w:val="0"/>
              </w:rPr>
            </w:pPr>
            <w:r w:rsidRPr="00F07786">
              <w:rPr>
                <w:rFonts w:cs="Times New Roman"/>
                <w:color w:val="000000"/>
                <w:kern w:val="0"/>
              </w:rPr>
              <w:t>7</w:t>
            </w:r>
          </w:p>
        </w:tc>
      </w:tr>
      <w:tr w14:paraId="05BBB092" w14:textId="77777777" w:rsidTr="00AF156C">
        <w:tblPrEx>
          <w:tblW w:w="9360" w:type="dxa"/>
          <w:tblInd w:w="93" w:type="dxa"/>
          <w:tblLayout w:type="fixed"/>
          <w:tblLook w:val="0000"/>
        </w:tblPrEx>
        <w:trPr>
          <w:cantSplit/>
          <w:trHeight w:val="440"/>
        </w:trPr>
        <w:tc>
          <w:tcPr>
            <w:tcW w:w="2422" w:type="dxa"/>
            <w:tcBorders>
              <w:top w:val="nil"/>
              <w:left w:val="single" w:sz="4" w:space="0" w:color="auto"/>
              <w:bottom w:val="single" w:sz="4" w:space="0" w:color="auto"/>
              <w:right w:val="single" w:sz="4" w:space="0" w:color="auto"/>
            </w:tcBorders>
            <w:vAlign w:val="bottom"/>
          </w:tcPr>
          <w:p w:rsidR="00F07786" w:rsidRPr="00C32047" w:rsidP="00F07786" w14:paraId="4655B7BD" w14:textId="77777777">
            <w:pPr>
              <w:keepNext/>
              <w:keepLines/>
              <w:spacing w:after="120"/>
              <w:jc w:val="right"/>
              <w:rPr>
                <w:rFonts w:cs="Times New Roman"/>
                <w:color w:val="000000"/>
                <w:kern w:val="0"/>
              </w:rPr>
            </w:pPr>
            <w:r w:rsidRPr="00785A17">
              <w:rPr>
                <w:rFonts w:cs="Times New Roman"/>
                <w:color w:val="000000"/>
                <w:kern w:val="0"/>
              </w:rPr>
              <w:t>Wireline Video System</w:t>
            </w:r>
            <w:r w:rsidR="00A70222">
              <w:rPr>
                <w:rFonts w:cs="Times New Roman"/>
                <w:color w:val="000000"/>
                <w:kern w:val="0"/>
              </w:rPr>
              <w:t>s</w:t>
            </w:r>
          </w:p>
        </w:tc>
        <w:tc>
          <w:tcPr>
            <w:tcW w:w="1260" w:type="dxa"/>
            <w:tcBorders>
              <w:top w:val="nil"/>
              <w:left w:val="single" w:sz="4" w:space="0" w:color="auto"/>
              <w:bottom w:val="single" w:sz="4" w:space="0" w:color="auto"/>
              <w:right w:val="single" w:sz="4" w:space="0" w:color="auto"/>
            </w:tcBorders>
            <w:vAlign w:val="bottom"/>
          </w:tcPr>
          <w:p w:rsidR="00F07786" w:rsidRPr="00F07786" w:rsidP="00F07786" w14:paraId="6176ADB7" w14:textId="77777777">
            <w:pPr>
              <w:keepNext/>
              <w:keepLines/>
              <w:spacing w:after="120"/>
              <w:jc w:val="center"/>
              <w:rPr>
                <w:rFonts w:cs="Times New Roman"/>
                <w:color w:val="000000"/>
                <w:kern w:val="0"/>
              </w:rPr>
            </w:pPr>
            <w:r w:rsidRPr="00F07786">
              <w:rPr>
                <w:rFonts w:cs="Times New Roman"/>
                <w:color w:val="000000"/>
                <w:kern w:val="0"/>
              </w:rPr>
              <w:t>48</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20F34071" w14:textId="77777777">
            <w:pPr>
              <w:keepNext/>
              <w:keepLines/>
              <w:spacing w:after="120"/>
              <w:jc w:val="center"/>
              <w:rPr>
                <w:rFonts w:cs="Times New Roman"/>
                <w:color w:val="000000"/>
                <w:kern w:val="0"/>
              </w:rPr>
            </w:pPr>
            <w:r w:rsidRPr="00F07786">
              <w:rPr>
                <w:rFonts w:cs="Times New Roman"/>
                <w:color w:val="000000"/>
                <w:kern w:val="0"/>
              </w:rPr>
              <w:t>0</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2EFBE54D" w14:textId="77777777">
            <w:pPr>
              <w:keepNext/>
              <w:keepLines/>
              <w:spacing w:after="120"/>
              <w:jc w:val="center"/>
              <w:rPr>
                <w:rFonts w:cs="Times New Roman"/>
                <w:color w:val="000000"/>
                <w:kern w:val="0"/>
              </w:rPr>
            </w:pPr>
            <w:r w:rsidRPr="00F07786">
              <w:rPr>
                <w:rFonts w:cs="Times New Roman"/>
                <w:color w:val="000000"/>
                <w:kern w:val="0"/>
              </w:rPr>
              <w:t>8</w:t>
            </w:r>
          </w:p>
        </w:tc>
        <w:tc>
          <w:tcPr>
            <w:tcW w:w="1080" w:type="dxa"/>
            <w:tcBorders>
              <w:top w:val="nil"/>
              <w:left w:val="single" w:sz="4" w:space="0" w:color="auto"/>
              <w:bottom w:val="single" w:sz="4" w:space="0" w:color="auto"/>
              <w:right w:val="single" w:sz="4" w:space="0" w:color="auto"/>
            </w:tcBorders>
            <w:vAlign w:val="bottom"/>
          </w:tcPr>
          <w:p w:rsidR="00F07786" w:rsidRPr="00F07786" w:rsidP="00F07786" w14:paraId="109881EF" w14:textId="77777777">
            <w:pPr>
              <w:keepNext/>
              <w:keepLines/>
              <w:spacing w:after="120"/>
              <w:jc w:val="center"/>
              <w:rPr>
                <w:rFonts w:cs="Times New Roman"/>
                <w:color w:val="000000"/>
                <w:kern w:val="0"/>
              </w:rPr>
            </w:pPr>
            <w:r w:rsidRPr="00F07786">
              <w:rPr>
                <w:rFonts w:cs="Times New Roman"/>
                <w:color w:val="000000"/>
                <w:kern w:val="0"/>
              </w:rPr>
              <w:t>42</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45BD61D3" w14:textId="77777777">
            <w:pPr>
              <w:keepNext/>
              <w:keepLines/>
              <w:spacing w:after="120"/>
              <w:jc w:val="center"/>
              <w:rPr>
                <w:rFonts w:cs="Times New Roman"/>
                <w:color w:val="000000"/>
                <w:kern w:val="0"/>
              </w:rPr>
            </w:pPr>
            <w:r w:rsidRPr="00F07786">
              <w:rPr>
                <w:rFonts w:cs="Times New Roman"/>
                <w:color w:val="000000"/>
                <w:kern w:val="0"/>
              </w:rPr>
              <w:t>0</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0D5EB7BE" w14:textId="77777777">
            <w:pPr>
              <w:keepNext/>
              <w:keepLines/>
              <w:spacing w:after="120"/>
              <w:jc w:val="center"/>
              <w:rPr>
                <w:rFonts w:cs="Times New Roman"/>
                <w:color w:val="000000"/>
                <w:kern w:val="0"/>
              </w:rPr>
            </w:pPr>
            <w:r w:rsidRPr="00F07786">
              <w:rPr>
                <w:rFonts w:cs="Times New Roman"/>
                <w:color w:val="000000"/>
                <w:kern w:val="0"/>
              </w:rPr>
              <w:t>8</w:t>
            </w:r>
          </w:p>
        </w:tc>
      </w:tr>
      <w:tr w14:paraId="7ED0C80A" w14:textId="77777777" w:rsidTr="00AF156C">
        <w:tblPrEx>
          <w:tblW w:w="9360" w:type="dxa"/>
          <w:tblInd w:w="93" w:type="dxa"/>
          <w:tblLayout w:type="fixed"/>
          <w:tblLook w:val="0000"/>
        </w:tblPrEx>
        <w:trPr>
          <w:cantSplit/>
          <w:trHeight w:val="253"/>
        </w:trPr>
        <w:tc>
          <w:tcPr>
            <w:tcW w:w="2422" w:type="dxa"/>
            <w:tcBorders>
              <w:top w:val="nil"/>
              <w:left w:val="single" w:sz="4" w:space="0" w:color="auto"/>
              <w:bottom w:val="single" w:sz="4" w:space="0" w:color="auto"/>
              <w:right w:val="single" w:sz="4" w:space="0" w:color="auto"/>
            </w:tcBorders>
            <w:vAlign w:val="bottom"/>
          </w:tcPr>
          <w:p w:rsidR="00F07786" w:rsidRPr="00C32047" w:rsidP="00F07786" w14:paraId="74C67552" w14:textId="77777777">
            <w:pPr>
              <w:keepNext/>
              <w:keepLines/>
              <w:spacing w:after="120"/>
              <w:jc w:val="right"/>
              <w:rPr>
                <w:rFonts w:cs="Times New Roman"/>
                <w:color w:val="000000"/>
                <w:kern w:val="0"/>
              </w:rPr>
            </w:pPr>
            <w:r w:rsidRPr="00785A17">
              <w:rPr>
                <w:rFonts w:cs="Times New Roman"/>
                <w:color w:val="000000"/>
                <w:kern w:val="0"/>
              </w:rPr>
              <w:t>Other</w:t>
            </w:r>
          </w:p>
        </w:tc>
        <w:tc>
          <w:tcPr>
            <w:tcW w:w="1260" w:type="dxa"/>
            <w:tcBorders>
              <w:top w:val="nil"/>
              <w:left w:val="single" w:sz="4" w:space="0" w:color="auto"/>
              <w:bottom w:val="single" w:sz="4" w:space="0" w:color="auto"/>
              <w:right w:val="single" w:sz="4" w:space="0" w:color="auto"/>
            </w:tcBorders>
            <w:vAlign w:val="bottom"/>
          </w:tcPr>
          <w:p w:rsidR="00F07786" w:rsidRPr="00F07786" w:rsidP="00F07786" w14:paraId="7C8FC48B" w14:textId="77777777">
            <w:pPr>
              <w:keepNext/>
              <w:keepLines/>
              <w:spacing w:after="120"/>
              <w:jc w:val="center"/>
              <w:rPr>
                <w:rFonts w:cs="Times New Roman"/>
                <w:color w:val="000000"/>
                <w:kern w:val="0"/>
              </w:rPr>
            </w:pPr>
            <w:r w:rsidRPr="00F07786">
              <w:rPr>
                <w:rFonts w:cs="Times New Roman"/>
                <w:color w:val="000000"/>
                <w:kern w:val="0"/>
              </w:rPr>
              <w:t>15</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32740F25" w14:textId="77777777">
            <w:pPr>
              <w:keepNext/>
              <w:keepLines/>
              <w:spacing w:after="120"/>
              <w:jc w:val="center"/>
              <w:rPr>
                <w:rFonts w:cs="Times New Roman"/>
                <w:color w:val="000000"/>
                <w:kern w:val="0"/>
              </w:rPr>
            </w:pPr>
            <w:r w:rsidRPr="00F07786">
              <w:rPr>
                <w:rFonts w:cs="Times New Roman"/>
                <w:color w:val="000000"/>
                <w:kern w:val="0"/>
              </w:rPr>
              <w:t>0</w:t>
            </w:r>
          </w:p>
        </w:tc>
        <w:tc>
          <w:tcPr>
            <w:tcW w:w="1170" w:type="dxa"/>
            <w:tcBorders>
              <w:top w:val="nil"/>
              <w:left w:val="single" w:sz="4" w:space="0" w:color="auto"/>
              <w:bottom w:val="single" w:sz="4" w:space="0" w:color="auto"/>
              <w:right w:val="single" w:sz="4" w:space="0" w:color="auto"/>
            </w:tcBorders>
            <w:vAlign w:val="bottom"/>
          </w:tcPr>
          <w:p w:rsidR="00F07786" w:rsidRPr="00F07786" w:rsidP="00F07786" w14:paraId="2975C1A7" w14:textId="77777777">
            <w:pPr>
              <w:keepNext/>
              <w:keepLines/>
              <w:spacing w:after="120"/>
              <w:jc w:val="center"/>
              <w:rPr>
                <w:rFonts w:cs="Times New Roman"/>
                <w:color w:val="000000"/>
                <w:kern w:val="0"/>
              </w:rPr>
            </w:pPr>
            <w:r w:rsidRPr="00F07786">
              <w:rPr>
                <w:rFonts w:cs="Times New Roman"/>
                <w:color w:val="000000"/>
                <w:kern w:val="0"/>
              </w:rPr>
              <w:t>0</w:t>
            </w:r>
          </w:p>
        </w:tc>
        <w:tc>
          <w:tcPr>
            <w:tcW w:w="1080" w:type="dxa"/>
            <w:tcBorders>
              <w:top w:val="nil"/>
              <w:left w:val="single" w:sz="4" w:space="0" w:color="auto"/>
              <w:bottom w:val="single" w:sz="4" w:space="0" w:color="auto"/>
              <w:right w:val="single" w:sz="4" w:space="0" w:color="auto"/>
            </w:tcBorders>
            <w:vAlign w:val="bottom"/>
          </w:tcPr>
          <w:p w:rsidR="00F07786" w:rsidRPr="00F07786" w:rsidP="00F07786" w14:paraId="2592FAE3" w14:textId="77777777">
            <w:pPr>
              <w:keepNext/>
              <w:keepLines/>
              <w:spacing w:after="120"/>
              <w:jc w:val="center"/>
              <w:rPr>
                <w:rFonts w:cs="Times New Roman"/>
                <w:color w:val="000000"/>
                <w:kern w:val="0"/>
              </w:rPr>
            </w:pPr>
            <w:r w:rsidRPr="00F07786">
              <w:rPr>
                <w:rFonts w:cs="Times New Roman"/>
                <w:color w:val="000000"/>
                <w:kern w:val="0"/>
              </w:rPr>
              <w:t>14</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12AF9A6E" w14:textId="77777777">
            <w:pPr>
              <w:keepNext/>
              <w:keepLines/>
              <w:spacing w:after="120"/>
              <w:jc w:val="center"/>
              <w:rPr>
                <w:rFonts w:cs="Times New Roman"/>
                <w:color w:val="000000"/>
                <w:kern w:val="0"/>
              </w:rPr>
            </w:pPr>
            <w:r w:rsidRPr="00F07786">
              <w:rPr>
                <w:rFonts w:cs="Times New Roman"/>
                <w:color w:val="000000"/>
                <w:kern w:val="0"/>
              </w:rPr>
              <w:t>0</w:t>
            </w:r>
          </w:p>
        </w:tc>
        <w:tc>
          <w:tcPr>
            <w:tcW w:w="1129" w:type="dxa"/>
            <w:tcBorders>
              <w:top w:val="nil"/>
              <w:left w:val="single" w:sz="4" w:space="0" w:color="auto"/>
              <w:bottom w:val="single" w:sz="4" w:space="0" w:color="auto"/>
              <w:right w:val="single" w:sz="4" w:space="0" w:color="auto"/>
            </w:tcBorders>
            <w:vAlign w:val="bottom"/>
          </w:tcPr>
          <w:p w:rsidR="00F07786" w:rsidRPr="00F07786" w:rsidP="00F07786" w14:paraId="75C417C5" w14:textId="77777777">
            <w:pPr>
              <w:keepNext/>
              <w:keepLines/>
              <w:spacing w:after="120"/>
              <w:jc w:val="center"/>
              <w:rPr>
                <w:rFonts w:cs="Times New Roman"/>
                <w:color w:val="000000"/>
                <w:kern w:val="0"/>
              </w:rPr>
            </w:pPr>
            <w:r w:rsidRPr="00F07786">
              <w:rPr>
                <w:rFonts w:cs="Times New Roman"/>
                <w:color w:val="000000"/>
                <w:kern w:val="0"/>
              </w:rPr>
              <w:t>0</w:t>
            </w:r>
          </w:p>
        </w:tc>
      </w:tr>
      <w:tr w14:paraId="3F73BA5D" w14:textId="77777777" w:rsidTr="00AF156C">
        <w:tblPrEx>
          <w:tblW w:w="9360" w:type="dxa"/>
          <w:tblInd w:w="93" w:type="dxa"/>
          <w:tblLayout w:type="fixed"/>
          <w:tblLook w:val="0000"/>
        </w:tblPrEx>
        <w:trPr>
          <w:cantSplit/>
          <w:trHeight w:val="253"/>
        </w:trPr>
        <w:tc>
          <w:tcPr>
            <w:tcW w:w="2422" w:type="dxa"/>
            <w:tcBorders>
              <w:top w:val="nil"/>
              <w:left w:val="single" w:sz="4" w:space="0" w:color="auto"/>
              <w:bottom w:val="single" w:sz="4" w:space="0" w:color="auto"/>
              <w:right w:val="single" w:sz="4" w:space="0" w:color="auto"/>
            </w:tcBorders>
            <w:shd w:val="clear" w:color="auto" w:fill="C0C0C0"/>
            <w:vAlign w:val="bottom"/>
          </w:tcPr>
          <w:p w:rsidR="00F07786" w:rsidRPr="00085542" w:rsidP="00F07786" w14:paraId="2A9721FE" w14:textId="77777777">
            <w:pPr>
              <w:spacing w:after="120"/>
              <w:jc w:val="center"/>
              <w:rPr>
                <w:rFonts w:cs="Times New Roman"/>
                <w:b/>
                <w:i/>
                <w:iCs/>
                <w:color w:val="000000"/>
                <w:kern w:val="0"/>
              </w:rPr>
            </w:pPr>
            <w:r w:rsidRPr="000E1D0E">
              <w:rPr>
                <w:rFonts w:cs="Times New Roman"/>
                <w:b/>
                <w:i/>
                <w:iCs/>
                <w:color w:val="000000"/>
                <w:kern w:val="0"/>
              </w:rPr>
              <w:t>All Total</w:t>
            </w:r>
          </w:p>
        </w:tc>
        <w:tc>
          <w:tcPr>
            <w:tcW w:w="1260" w:type="dxa"/>
            <w:tcBorders>
              <w:top w:val="nil"/>
              <w:left w:val="single" w:sz="4" w:space="0" w:color="auto"/>
              <w:bottom w:val="single" w:sz="4" w:space="0" w:color="auto"/>
              <w:right w:val="single" w:sz="4" w:space="0" w:color="auto"/>
            </w:tcBorders>
            <w:shd w:val="clear" w:color="auto" w:fill="C0C0C0"/>
            <w:vAlign w:val="bottom"/>
          </w:tcPr>
          <w:p w:rsidR="00F07786" w:rsidRPr="00F07786" w:rsidP="00F07786" w14:paraId="02FFD895" w14:textId="5B62ED83">
            <w:pPr>
              <w:spacing w:after="120"/>
              <w:jc w:val="center"/>
              <w:rPr>
                <w:rFonts w:cs="Times New Roman"/>
                <w:b/>
                <w:color w:val="000000"/>
                <w:kern w:val="0"/>
              </w:rPr>
            </w:pPr>
            <w:r w:rsidRPr="00F07786">
              <w:rPr>
                <w:rFonts w:cs="Times New Roman"/>
                <w:b/>
                <w:color w:val="000000"/>
                <w:kern w:val="0"/>
              </w:rPr>
              <w:t>1595</w:t>
            </w:r>
            <w:r w:rsidR="00952019">
              <w:rPr>
                <w:rFonts w:cs="Times New Roman"/>
                <w:b/>
                <w:color w:val="000000"/>
                <w:kern w:val="0"/>
              </w:rPr>
              <w:t>3</w:t>
            </w:r>
          </w:p>
        </w:tc>
        <w:tc>
          <w:tcPr>
            <w:tcW w:w="1170" w:type="dxa"/>
            <w:tcBorders>
              <w:top w:val="nil"/>
              <w:left w:val="single" w:sz="4" w:space="0" w:color="auto"/>
              <w:bottom w:val="single" w:sz="4" w:space="0" w:color="auto"/>
              <w:right w:val="single" w:sz="4" w:space="0" w:color="auto"/>
            </w:tcBorders>
            <w:shd w:val="clear" w:color="auto" w:fill="C0C0C0"/>
            <w:vAlign w:val="bottom"/>
          </w:tcPr>
          <w:p w:rsidR="00F07786" w:rsidRPr="00F07786" w:rsidP="00F07786" w14:paraId="2C246E4C" w14:textId="77777777">
            <w:pPr>
              <w:spacing w:after="120"/>
              <w:jc w:val="center"/>
              <w:rPr>
                <w:rFonts w:cs="Times New Roman"/>
                <w:b/>
                <w:color w:val="000000"/>
                <w:kern w:val="0"/>
              </w:rPr>
            </w:pPr>
            <w:r w:rsidRPr="00F07786">
              <w:rPr>
                <w:rFonts w:cs="Times New Roman"/>
                <w:b/>
                <w:color w:val="000000"/>
                <w:kern w:val="0"/>
              </w:rPr>
              <w:t>75</w:t>
            </w:r>
          </w:p>
        </w:tc>
        <w:tc>
          <w:tcPr>
            <w:tcW w:w="1170" w:type="dxa"/>
            <w:tcBorders>
              <w:top w:val="nil"/>
              <w:left w:val="single" w:sz="4" w:space="0" w:color="auto"/>
              <w:bottom w:val="single" w:sz="4" w:space="0" w:color="auto"/>
              <w:right w:val="single" w:sz="4" w:space="0" w:color="auto"/>
            </w:tcBorders>
            <w:shd w:val="clear" w:color="auto" w:fill="C0C0C0"/>
            <w:vAlign w:val="bottom"/>
          </w:tcPr>
          <w:p w:rsidR="00F07786" w:rsidRPr="00F07786" w:rsidP="00F07786" w14:paraId="0CA82CDC" w14:textId="77777777">
            <w:pPr>
              <w:spacing w:after="120"/>
              <w:jc w:val="center"/>
              <w:rPr>
                <w:rFonts w:cs="Times New Roman"/>
                <w:b/>
                <w:color w:val="000000"/>
                <w:kern w:val="0"/>
              </w:rPr>
            </w:pPr>
            <w:r w:rsidRPr="00F07786">
              <w:rPr>
                <w:rFonts w:cs="Times New Roman"/>
                <w:b/>
                <w:color w:val="000000"/>
                <w:kern w:val="0"/>
              </w:rPr>
              <w:t>682</w:t>
            </w:r>
          </w:p>
        </w:tc>
        <w:tc>
          <w:tcPr>
            <w:tcW w:w="1080" w:type="dxa"/>
            <w:tcBorders>
              <w:top w:val="nil"/>
              <w:left w:val="single" w:sz="4" w:space="0" w:color="auto"/>
              <w:bottom w:val="single" w:sz="4" w:space="0" w:color="auto"/>
              <w:right w:val="single" w:sz="4" w:space="0" w:color="auto"/>
            </w:tcBorders>
            <w:shd w:val="clear" w:color="auto" w:fill="C0C0C0"/>
            <w:vAlign w:val="bottom"/>
          </w:tcPr>
          <w:p w:rsidR="00F07786" w:rsidRPr="00F07786" w:rsidP="00F07786" w14:paraId="2ACDB6D6" w14:textId="6658000B">
            <w:pPr>
              <w:spacing w:after="120"/>
              <w:jc w:val="center"/>
              <w:rPr>
                <w:rFonts w:cs="Times New Roman"/>
                <w:b/>
                <w:color w:val="000000"/>
                <w:kern w:val="0"/>
              </w:rPr>
            </w:pPr>
            <w:r w:rsidRPr="00F07786">
              <w:rPr>
                <w:rFonts w:cs="Times New Roman"/>
                <w:b/>
                <w:color w:val="000000"/>
                <w:kern w:val="0"/>
              </w:rPr>
              <w:t>1532</w:t>
            </w:r>
            <w:r w:rsidR="00952019">
              <w:rPr>
                <w:rFonts w:cs="Times New Roman"/>
                <w:b/>
                <w:color w:val="000000"/>
                <w:kern w:val="0"/>
              </w:rPr>
              <w:t>2</w:t>
            </w:r>
          </w:p>
        </w:tc>
        <w:tc>
          <w:tcPr>
            <w:tcW w:w="1129" w:type="dxa"/>
            <w:tcBorders>
              <w:top w:val="nil"/>
              <w:left w:val="single" w:sz="4" w:space="0" w:color="auto"/>
              <w:bottom w:val="single" w:sz="4" w:space="0" w:color="auto"/>
              <w:right w:val="single" w:sz="4" w:space="0" w:color="auto"/>
            </w:tcBorders>
            <w:shd w:val="clear" w:color="auto" w:fill="C0C0C0"/>
            <w:vAlign w:val="bottom"/>
          </w:tcPr>
          <w:p w:rsidR="00F07786" w:rsidRPr="00F07786" w:rsidP="00F07786" w14:paraId="30EBEB16" w14:textId="77777777">
            <w:pPr>
              <w:spacing w:after="120"/>
              <w:jc w:val="center"/>
              <w:rPr>
                <w:rFonts w:cs="Times New Roman"/>
                <w:b/>
                <w:color w:val="000000"/>
                <w:kern w:val="0"/>
              </w:rPr>
            </w:pPr>
            <w:r w:rsidRPr="00F07786">
              <w:rPr>
                <w:rFonts w:cs="Times New Roman"/>
                <w:b/>
                <w:color w:val="000000"/>
                <w:kern w:val="0"/>
              </w:rPr>
              <w:t>123</w:t>
            </w:r>
          </w:p>
        </w:tc>
        <w:tc>
          <w:tcPr>
            <w:tcW w:w="1129" w:type="dxa"/>
            <w:tcBorders>
              <w:top w:val="nil"/>
              <w:left w:val="single" w:sz="4" w:space="0" w:color="auto"/>
              <w:bottom w:val="single" w:sz="4" w:space="0" w:color="auto"/>
              <w:right w:val="single" w:sz="4" w:space="0" w:color="auto"/>
            </w:tcBorders>
            <w:shd w:val="clear" w:color="auto" w:fill="C0C0C0"/>
            <w:vAlign w:val="bottom"/>
          </w:tcPr>
          <w:p w:rsidR="00F07786" w:rsidRPr="00F07786" w:rsidP="00F07786" w14:paraId="65A67F6F" w14:textId="77777777">
            <w:pPr>
              <w:spacing w:after="120"/>
              <w:jc w:val="center"/>
              <w:rPr>
                <w:rFonts w:cs="Times New Roman"/>
                <w:b/>
                <w:color w:val="000000"/>
                <w:kern w:val="0"/>
              </w:rPr>
            </w:pPr>
            <w:r w:rsidRPr="00F07786">
              <w:rPr>
                <w:rFonts w:cs="Times New Roman"/>
                <w:b/>
                <w:color w:val="000000"/>
                <w:kern w:val="0"/>
              </w:rPr>
              <w:t>633</w:t>
            </w:r>
          </w:p>
        </w:tc>
      </w:tr>
    </w:tbl>
    <w:p w:rsidR="00ED20C2" w:rsidRPr="00B57342" w:rsidP="00ED20C2" w14:paraId="55C150FC" w14:textId="77777777">
      <w:pPr>
        <w:rPr>
          <w:rStyle w:val="Emphasis"/>
          <w:rFonts w:cs="Times New Roman"/>
          <w:i w:val="0"/>
          <w:szCs w:val="22"/>
        </w:rPr>
      </w:pPr>
    </w:p>
    <w:p w:rsidR="0005014A" w14:paraId="22FE672C" w14:textId="77777777">
      <w:pPr>
        <w:rPr>
          <w:rStyle w:val="Emphasis"/>
          <w:rFonts w:cs="Times New Roman"/>
          <w:i w:val="0"/>
          <w:iCs w:val="0"/>
        </w:rPr>
      </w:pPr>
      <w:bookmarkStart w:id="330" w:name="_Hlk507081396"/>
      <w:r>
        <w:rPr>
          <w:rStyle w:val="Emphasis"/>
          <w:rFonts w:cs="Times New Roman"/>
          <w:i w:val="0"/>
          <w:iCs w:val="0"/>
        </w:rPr>
        <w:br w:type="page"/>
      </w:r>
    </w:p>
    <w:p w:rsidR="009611A8" w:rsidRPr="00085542" w14:paraId="744CAD29" w14:textId="73713A03">
      <w:pPr>
        <w:rPr>
          <w:rStyle w:val="Emphasis"/>
          <w:rFonts w:cs="Times New Roman"/>
          <w:i w:val="0"/>
          <w:iCs w:val="0"/>
        </w:rPr>
      </w:pPr>
      <w:r w:rsidRPr="000E1D0E">
        <w:rPr>
          <w:rStyle w:val="Emphasis"/>
          <w:rFonts w:cs="Times New Roman"/>
          <w:i w:val="0"/>
          <w:iCs w:val="0"/>
        </w:rPr>
        <w:t>This year, filers reported the primary language</w:t>
      </w:r>
      <w:r w:rsidRPr="000E1D0E" w:rsidR="00E91B2F">
        <w:rPr>
          <w:rStyle w:val="Emphasis"/>
          <w:rFonts w:cs="Times New Roman"/>
          <w:i w:val="0"/>
          <w:iCs w:val="0"/>
        </w:rPr>
        <w:t>s</w:t>
      </w:r>
      <w:r w:rsidRPr="000E1D0E">
        <w:rPr>
          <w:rStyle w:val="Emphasis"/>
          <w:rFonts w:cs="Times New Roman"/>
          <w:i w:val="0"/>
          <w:iCs w:val="0"/>
        </w:rPr>
        <w:t xml:space="preserve"> in the</w:t>
      </w:r>
      <w:r w:rsidRPr="00CE16AB" w:rsidR="00817E9A">
        <w:rPr>
          <w:rStyle w:val="Emphasis"/>
          <w:rFonts w:cs="Times New Roman"/>
          <w:i w:val="0"/>
          <w:iCs w:val="0"/>
        </w:rPr>
        <w:t>ir</w:t>
      </w:r>
      <w:r w:rsidRPr="00CE16AB">
        <w:rPr>
          <w:rStyle w:val="Emphasis"/>
          <w:rFonts w:cs="Times New Roman"/>
          <w:i w:val="0"/>
          <w:iCs w:val="0"/>
        </w:rPr>
        <w:t xml:space="preserve"> service are</w:t>
      </w:r>
      <w:r w:rsidRPr="00424050">
        <w:rPr>
          <w:rStyle w:val="Emphasis"/>
          <w:rFonts w:cs="Times New Roman"/>
          <w:i w:val="0"/>
          <w:iCs w:val="0"/>
        </w:rPr>
        <w:t>a</w:t>
      </w:r>
      <w:r w:rsidRPr="000E1D0E">
        <w:rPr>
          <w:rStyle w:val="Emphasis"/>
          <w:rFonts w:cs="Times New Roman"/>
          <w:i w:val="0"/>
          <w:iCs w:val="0"/>
        </w:rPr>
        <w:t xml:space="preserve">.  </w:t>
      </w:r>
      <w:r w:rsidRPr="001D3751" w:rsidR="004F1272">
        <w:rPr>
          <w:rStyle w:val="Emphasis"/>
          <w:rFonts w:cs="Times New Roman"/>
          <w:b/>
          <w:i w:val="0"/>
          <w:iCs w:val="0"/>
        </w:rPr>
        <w:t>Table 1</w:t>
      </w:r>
      <w:r w:rsidR="0005014A">
        <w:rPr>
          <w:rStyle w:val="Emphasis"/>
          <w:rFonts w:cs="Times New Roman"/>
          <w:b/>
          <w:i w:val="0"/>
          <w:iCs w:val="0"/>
        </w:rPr>
        <w:t>0</w:t>
      </w:r>
      <w:r w:rsidRPr="00424050" w:rsidR="004F1272">
        <w:rPr>
          <w:rStyle w:val="Emphasis"/>
          <w:rFonts w:cs="Times New Roman"/>
          <w:i w:val="0"/>
          <w:iCs w:val="0"/>
        </w:rPr>
        <w:t xml:space="preserve"> tallies the five highest reported </w:t>
      </w:r>
      <w:r w:rsidRPr="00424050" w:rsidR="007609AB">
        <w:rPr>
          <w:rStyle w:val="Emphasis"/>
          <w:rFonts w:cs="Times New Roman"/>
          <w:i w:val="0"/>
          <w:iCs w:val="0"/>
        </w:rPr>
        <w:t xml:space="preserve">service area </w:t>
      </w:r>
      <w:r w:rsidRPr="00424050" w:rsidR="004F1272">
        <w:rPr>
          <w:rStyle w:val="Emphasis"/>
          <w:rFonts w:cs="Times New Roman"/>
          <w:i w:val="0"/>
          <w:iCs w:val="0"/>
        </w:rPr>
        <w:t xml:space="preserve">languages.  </w:t>
      </w:r>
      <w:r w:rsidRPr="00C20A4F" w:rsidR="007609AB">
        <w:rPr>
          <w:rStyle w:val="Emphasis"/>
          <w:rFonts w:cs="Times New Roman"/>
          <w:i w:val="0"/>
          <w:iCs w:val="0"/>
        </w:rPr>
        <w:t>Of the</w:t>
      </w:r>
      <w:r w:rsidRPr="00C20A4F">
        <w:rPr>
          <w:rStyle w:val="Emphasis"/>
          <w:rFonts w:cs="Times New Roman"/>
          <w:i w:val="0"/>
          <w:iCs w:val="0"/>
        </w:rPr>
        <w:t xml:space="preserve"> </w:t>
      </w:r>
      <w:r w:rsidR="00BA6F13">
        <w:rPr>
          <w:rStyle w:val="Emphasis"/>
          <w:rFonts w:cs="Times New Roman"/>
          <w:i w:val="0"/>
          <w:iCs w:val="0"/>
        </w:rPr>
        <w:t>12,929</w:t>
      </w:r>
      <w:r w:rsidRPr="00C20A4F">
        <w:rPr>
          <w:rStyle w:val="Emphasis"/>
          <w:rFonts w:cs="Times New Roman"/>
          <w:i w:val="0"/>
          <w:iCs w:val="0"/>
        </w:rPr>
        <w:t xml:space="preserve"> responses</w:t>
      </w:r>
      <w:r w:rsidRPr="002950F2" w:rsidR="007609AB">
        <w:rPr>
          <w:rStyle w:val="Emphasis"/>
          <w:rFonts w:cs="Times New Roman"/>
          <w:i w:val="0"/>
          <w:iCs w:val="0"/>
        </w:rPr>
        <w:t xml:space="preserve"> received</w:t>
      </w:r>
      <w:r w:rsidR="000401C6">
        <w:rPr>
          <w:rStyle w:val="Emphasis"/>
          <w:rFonts w:cs="Times New Roman"/>
          <w:i w:val="0"/>
          <w:iCs w:val="0"/>
        </w:rPr>
        <w:t xml:space="preserve"> from </w:t>
      </w:r>
      <w:r w:rsidR="009307E6">
        <w:rPr>
          <w:rStyle w:val="Emphasis"/>
          <w:rFonts w:cs="Times New Roman"/>
          <w:i w:val="0"/>
          <w:iCs w:val="0"/>
        </w:rPr>
        <w:t>EAS P</w:t>
      </w:r>
      <w:r w:rsidR="000401C6">
        <w:rPr>
          <w:rStyle w:val="Emphasis"/>
          <w:rFonts w:cs="Times New Roman"/>
          <w:i w:val="0"/>
          <w:iCs w:val="0"/>
        </w:rPr>
        <w:t>articipants</w:t>
      </w:r>
      <w:r w:rsidRPr="002950F2">
        <w:rPr>
          <w:rStyle w:val="Emphasis"/>
          <w:rFonts w:cs="Times New Roman"/>
          <w:i w:val="0"/>
          <w:iCs w:val="0"/>
        </w:rPr>
        <w:t>, 1</w:t>
      </w:r>
      <w:r w:rsidR="00CE61E2">
        <w:rPr>
          <w:rStyle w:val="Emphasis"/>
          <w:rFonts w:cs="Times New Roman"/>
          <w:i w:val="0"/>
          <w:iCs w:val="0"/>
        </w:rPr>
        <w:t>1</w:t>
      </w:r>
      <w:r w:rsidRPr="002950F2">
        <w:rPr>
          <w:rStyle w:val="Emphasis"/>
          <w:rFonts w:cs="Times New Roman"/>
          <w:i w:val="0"/>
          <w:iCs w:val="0"/>
        </w:rPr>
        <w:t>,</w:t>
      </w:r>
      <w:r w:rsidR="00CE61E2">
        <w:rPr>
          <w:rStyle w:val="Emphasis"/>
          <w:rFonts w:cs="Times New Roman"/>
          <w:i w:val="0"/>
          <w:iCs w:val="0"/>
        </w:rPr>
        <w:t>891</w:t>
      </w:r>
      <w:r w:rsidRPr="002950F2">
        <w:rPr>
          <w:rStyle w:val="Emphasis"/>
          <w:rFonts w:cs="Times New Roman"/>
          <w:i w:val="0"/>
          <w:iCs w:val="0"/>
        </w:rPr>
        <w:t xml:space="preserve"> reported English</w:t>
      </w:r>
      <w:r w:rsidRPr="002950F2" w:rsidR="007609AB">
        <w:rPr>
          <w:rStyle w:val="Emphasis"/>
          <w:rFonts w:cs="Times New Roman"/>
          <w:i w:val="0"/>
          <w:iCs w:val="0"/>
        </w:rPr>
        <w:t xml:space="preserve">, </w:t>
      </w:r>
      <w:r w:rsidR="00CE61E2">
        <w:rPr>
          <w:rStyle w:val="Emphasis"/>
          <w:rFonts w:cs="Times New Roman"/>
          <w:i w:val="0"/>
          <w:iCs w:val="0"/>
        </w:rPr>
        <w:t>799</w:t>
      </w:r>
      <w:r w:rsidRPr="002950F2">
        <w:rPr>
          <w:rStyle w:val="Emphasis"/>
          <w:rFonts w:cs="Times New Roman"/>
          <w:i w:val="0"/>
          <w:iCs w:val="0"/>
        </w:rPr>
        <w:t xml:space="preserve"> reported </w:t>
      </w:r>
      <w:r w:rsidRPr="002950F2" w:rsidR="007609AB">
        <w:rPr>
          <w:rStyle w:val="Emphasis"/>
          <w:rFonts w:cs="Times New Roman"/>
          <w:i w:val="0"/>
          <w:iCs w:val="0"/>
        </w:rPr>
        <w:t xml:space="preserve">both English and </w:t>
      </w:r>
      <w:r w:rsidRPr="002950F2">
        <w:rPr>
          <w:rStyle w:val="Emphasis"/>
          <w:rFonts w:cs="Times New Roman"/>
          <w:i w:val="0"/>
          <w:iCs w:val="0"/>
        </w:rPr>
        <w:t>Spanish</w:t>
      </w:r>
      <w:r w:rsidRPr="002950F2" w:rsidR="007609AB">
        <w:rPr>
          <w:rStyle w:val="Emphasis"/>
          <w:rFonts w:cs="Times New Roman"/>
          <w:i w:val="0"/>
          <w:iCs w:val="0"/>
        </w:rPr>
        <w:t>, and 2</w:t>
      </w:r>
      <w:r w:rsidR="00CE61E2">
        <w:rPr>
          <w:rStyle w:val="Emphasis"/>
          <w:rFonts w:cs="Times New Roman"/>
          <w:i w:val="0"/>
          <w:iCs w:val="0"/>
        </w:rPr>
        <w:t xml:space="preserve">06 </w:t>
      </w:r>
      <w:r w:rsidRPr="002950F2" w:rsidR="007609AB">
        <w:rPr>
          <w:rStyle w:val="Emphasis"/>
          <w:rFonts w:cs="Times New Roman"/>
          <w:i w:val="0"/>
          <w:iCs w:val="0"/>
        </w:rPr>
        <w:t>reported Spanish</w:t>
      </w:r>
      <w:r w:rsidR="001A79FF">
        <w:rPr>
          <w:rStyle w:val="Emphasis"/>
          <w:rFonts w:cs="Times New Roman"/>
          <w:i w:val="0"/>
          <w:iCs w:val="0"/>
        </w:rPr>
        <w:t xml:space="preserve"> </w:t>
      </w:r>
      <w:r w:rsidRPr="002950F2" w:rsidR="007609AB">
        <w:rPr>
          <w:rStyle w:val="Emphasis"/>
          <w:rFonts w:cs="Times New Roman"/>
          <w:i w:val="0"/>
          <w:iCs w:val="0"/>
        </w:rPr>
        <w:t>only.</w:t>
      </w:r>
      <w:r w:rsidRPr="002950F2" w:rsidR="00D83112">
        <w:rPr>
          <w:rStyle w:val="Emphasis"/>
          <w:rFonts w:cs="Times New Roman"/>
          <w:i w:val="0"/>
          <w:iCs w:val="0"/>
        </w:rPr>
        <w:t xml:space="preserve">  </w:t>
      </w:r>
      <w:r w:rsidR="00CE61E2">
        <w:rPr>
          <w:rStyle w:val="Emphasis"/>
          <w:rFonts w:cs="Times New Roman"/>
          <w:i w:val="0"/>
          <w:iCs w:val="0"/>
        </w:rPr>
        <w:t>Russian</w:t>
      </w:r>
      <w:r w:rsidRPr="002950F2" w:rsidR="007609AB">
        <w:rPr>
          <w:rStyle w:val="Emphasis"/>
          <w:rFonts w:cs="Times New Roman"/>
          <w:i w:val="0"/>
          <w:iCs w:val="0"/>
        </w:rPr>
        <w:t xml:space="preserve">, Chinese, </w:t>
      </w:r>
      <w:r w:rsidRPr="002950F2" w:rsidR="00D83112">
        <w:rPr>
          <w:rStyle w:val="Emphasis"/>
          <w:rFonts w:cs="Times New Roman"/>
          <w:i w:val="0"/>
          <w:iCs w:val="0"/>
        </w:rPr>
        <w:t xml:space="preserve">Korean, </w:t>
      </w:r>
      <w:r w:rsidR="00CE61E2">
        <w:rPr>
          <w:rStyle w:val="Emphasis"/>
          <w:rFonts w:cs="Times New Roman"/>
          <w:i w:val="0"/>
          <w:iCs w:val="0"/>
        </w:rPr>
        <w:t xml:space="preserve">Samoan, Portuguese, Punjabi, Haitian, French, Armenian, Navajo, Vietnamese, Hindi, </w:t>
      </w:r>
      <w:r w:rsidR="00CE61E2">
        <w:rPr>
          <w:rStyle w:val="Emphasis"/>
          <w:rFonts w:cs="Times New Roman"/>
          <w:i w:val="0"/>
          <w:iCs w:val="0"/>
        </w:rPr>
        <w:t>Testl</w:t>
      </w:r>
      <w:r w:rsidR="00CE61E2">
        <w:rPr>
          <w:rStyle w:val="Emphasis"/>
          <w:rFonts w:cs="Times New Roman"/>
          <w:i w:val="0"/>
          <w:iCs w:val="0"/>
        </w:rPr>
        <w:t xml:space="preserve">, and </w:t>
      </w:r>
      <w:r w:rsidR="00A532A6">
        <w:rPr>
          <w:rStyle w:val="Emphasis"/>
          <w:rFonts w:cs="Times New Roman"/>
          <w:i w:val="0"/>
          <w:iCs w:val="0"/>
        </w:rPr>
        <w:t>Inupiaq/</w:t>
      </w:r>
      <w:r w:rsidR="00CE61E2">
        <w:rPr>
          <w:rStyle w:val="Emphasis"/>
          <w:rFonts w:cs="Times New Roman"/>
          <w:i w:val="0"/>
          <w:iCs w:val="0"/>
        </w:rPr>
        <w:t>Yup’ik</w:t>
      </w:r>
      <w:r w:rsidR="00CE61E2">
        <w:rPr>
          <w:rStyle w:val="Emphasis"/>
          <w:rFonts w:cs="Times New Roman"/>
          <w:i w:val="0"/>
          <w:iCs w:val="0"/>
        </w:rPr>
        <w:t xml:space="preserve"> Eskimo </w:t>
      </w:r>
      <w:r w:rsidRPr="002950F2" w:rsidR="00D83112">
        <w:rPr>
          <w:rStyle w:val="Emphasis"/>
          <w:rFonts w:cs="Times New Roman"/>
          <w:i w:val="0"/>
          <w:iCs w:val="0"/>
        </w:rPr>
        <w:t xml:space="preserve">were also </w:t>
      </w:r>
      <w:r w:rsidRPr="002950F2" w:rsidR="007609AB">
        <w:rPr>
          <w:rStyle w:val="Emphasis"/>
          <w:rFonts w:cs="Times New Roman"/>
          <w:i w:val="0"/>
          <w:iCs w:val="0"/>
        </w:rPr>
        <w:t>reported</w:t>
      </w:r>
      <w:r w:rsidRPr="002950F2" w:rsidR="00D83112">
        <w:rPr>
          <w:rStyle w:val="Emphasis"/>
          <w:rFonts w:cs="Times New Roman"/>
          <w:i w:val="0"/>
          <w:iCs w:val="0"/>
        </w:rPr>
        <w:t xml:space="preserve"> in smaller </w:t>
      </w:r>
      <w:r w:rsidRPr="209B057E" w:rsidR="00F67FD2">
        <w:rPr>
          <w:rStyle w:val="Emphasis"/>
          <w:rFonts w:cs="Times New Roman"/>
          <w:i w:val="0"/>
        </w:rPr>
        <w:t>numbers</w:t>
      </w:r>
      <w:r w:rsidRPr="209B057E" w:rsidR="00D83112">
        <w:rPr>
          <w:rStyle w:val="Emphasis"/>
          <w:rFonts w:cs="Times New Roman"/>
          <w:i w:val="0"/>
        </w:rPr>
        <w:t>.</w:t>
      </w:r>
      <w:r w:rsidR="003A2650">
        <w:rPr>
          <w:rStyle w:val="Emphasis"/>
          <w:rFonts w:cs="Times New Roman"/>
          <w:i w:val="0"/>
        </w:rPr>
        <w:t xml:space="preserve"> </w:t>
      </w:r>
    </w:p>
    <w:p w:rsidR="006C72D3" w:rsidRPr="00B57342" w:rsidP="00ED20C2" w14:paraId="3C9BE106" w14:textId="77777777">
      <w:pPr>
        <w:rPr>
          <w:rStyle w:val="Emphasis"/>
          <w:rFonts w:cs="Times New Roman"/>
          <w:b/>
          <w:i w:val="0"/>
          <w:szCs w:val="22"/>
        </w:rPr>
      </w:pPr>
    </w:p>
    <w:p w:rsidR="00ED20C2" w:rsidRPr="00085542" w14:paraId="43148902" w14:textId="6B55F300">
      <w:pPr>
        <w:rPr>
          <w:rFonts w:cs="Times New Roman"/>
          <w:b/>
        </w:rPr>
      </w:pPr>
      <w:r w:rsidRPr="000E1D0E">
        <w:rPr>
          <w:rStyle w:val="Emphasis"/>
          <w:rFonts w:cs="Times New Roman"/>
          <w:b/>
          <w:i w:val="0"/>
          <w:iCs w:val="0"/>
        </w:rPr>
        <w:t>Table 1</w:t>
      </w:r>
      <w:r w:rsidR="0005014A">
        <w:rPr>
          <w:rStyle w:val="Emphasis"/>
          <w:rFonts w:cs="Times New Roman"/>
          <w:b/>
          <w:i w:val="0"/>
          <w:iCs w:val="0"/>
        </w:rPr>
        <w:t>0</w:t>
      </w:r>
      <w:r w:rsidRPr="000E1D0E">
        <w:rPr>
          <w:rStyle w:val="Emphasis"/>
          <w:rFonts w:cs="Times New Roman"/>
          <w:b/>
          <w:i w:val="0"/>
          <w:iCs w:val="0"/>
        </w:rPr>
        <w:t>.</w:t>
      </w:r>
      <w:r w:rsidRPr="00CE16AB">
        <w:rPr>
          <w:rStyle w:val="Emphasis"/>
          <w:rFonts w:cs="Times New Roman"/>
          <w:i w:val="0"/>
          <w:iCs w:val="0"/>
        </w:rPr>
        <w:t xml:space="preserve"> </w:t>
      </w:r>
      <w:r w:rsidRPr="00CE16AB" w:rsidR="00AD4E14">
        <w:rPr>
          <w:rStyle w:val="Emphasis"/>
          <w:rFonts w:cs="Times New Roman"/>
          <w:b/>
          <w:i w:val="0"/>
          <w:iCs w:val="0"/>
        </w:rPr>
        <w:t>Primary Language(s) in Service Area</w:t>
      </w:r>
    </w:p>
    <w:p w:rsidR="006C72D3" w:rsidRPr="007059AE" w:rsidP="00ED20C2" w14:paraId="05D8E5CD" w14:textId="77777777">
      <w:pPr>
        <w:rPr>
          <w:rStyle w:val="Emphasis"/>
          <w:rFonts w:cs="Times New Roman"/>
          <w:i w:val="0"/>
          <w:szCs w:val="22"/>
        </w:rPr>
      </w:pPr>
    </w:p>
    <w:tbl>
      <w:tblPr>
        <w:tblStyle w:val="TableGrid"/>
        <w:tblW w:w="0" w:type="auto"/>
        <w:tblLook w:val="04A0"/>
      </w:tblPr>
      <w:tblGrid>
        <w:gridCol w:w="935"/>
        <w:gridCol w:w="935"/>
        <w:gridCol w:w="935"/>
        <w:gridCol w:w="935"/>
        <w:gridCol w:w="935"/>
        <w:gridCol w:w="935"/>
        <w:gridCol w:w="935"/>
        <w:gridCol w:w="935"/>
        <w:gridCol w:w="935"/>
        <w:gridCol w:w="935"/>
      </w:tblGrid>
      <w:tr w14:paraId="588D7603" w14:textId="77777777" w:rsidTr="00085542">
        <w:tblPrEx>
          <w:tblW w:w="0" w:type="auto"/>
          <w:tblLook w:val="04A0"/>
        </w:tblPrEx>
        <w:tc>
          <w:tcPr>
            <w:tcW w:w="1870" w:type="dxa"/>
            <w:gridSpan w:val="2"/>
            <w:shd w:val="clear" w:color="auto" w:fill="BFBFBF" w:themeFill="background1" w:themeFillShade="BF"/>
          </w:tcPr>
          <w:p w:rsidR="00CE61E2" w:rsidRPr="00B57342" w:rsidP="00CE61E2" w14:paraId="6CF4954E" w14:textId="77777777">
            <w:pPr>
              <w:pStyle w:val="ParaNum"/>
              <w:numPr>
                <w:ilvl w:val="0"/>
                <w:numId w:val="0"/>
              </w:numPr>
              <w:jc w:val="center"/>
              <w:rPr>
                <w:rFonts w:cs="Times New Roman"/>
                <w:b/>
                <w:szCs w:val="22"/>
              </w:rPr>
            </w:pPr>
          </w:p>
          <w:p w:rsidR="00CE61E2" w:rsidRPr="00085542" w:rsidP="00CE61E2" w14:paraId="7E10B523" w14:textId="77777777">
            <w:pPr>
              <w:pStyle w:val="ParaNum"/>
              <w:numPr>
                <w:ilvl w:val="0"/>
                <w:numId w:val="0"/>
              </w:numPr>
              <w:jc w:val="center"/>
              <w:rPr>
                <w:rFonts w:cs="Times New Roman"/>
                <w:b/>
              </w:rPr>
            </w:pPr>
            <w:r w:rsidRPr="255FCAE1">
              <w:rPr>
                <w:rFonts w:cs="Times New Roman"/>
                <w:b/>
              </w:rPr>
              <w:t>English</w:t>
            </w:r>
          </w:p>
        </w:tc>
        <w:tc>
          <w:tcPr>
            <w:tcW w:w="1870" w:type="dxa"/>
            <w:gridSpan w:val="2"/>
            <w:shd w:val="clear" w:color="auto" w:fill="BFBFBF" w:themeFill="background1" w:themeFillShade="BF"/>
            <w:vAlign w:val="bottom"/>
          </w:tcPr>
          <w:p w:rsidR="00CE61E2" w:rsidRPr="00085542" w:rsidP="00CE61E2" w14:paraId="6201FDD1" w14:textId="77777777">
            <w:pPr>
              <w:pStyle w:val="ParaNum"/>
              <w:numPr>
                <w:ilvl w:val="0"/>
                <w:numId w:val="0"/>
              </w:numPr>
              <w:jc w:val="center"/>
              <w:rPr>
                <w:rFonts w:cs="Times New Roman"/>
                <w:b/>
              </w:rPr>
            </w:pPr>
            <w:r w:rsidRPr="255FCAE1">
              <w:rPr>
                <w:rFonts w:cs="Times New Roman"/>
                <w:b/>
              </w:rPr>
              <w:t>English and Spanish</w:t>
            </w:r>
          </w:p>
        </w:tc>
        <w:tc>
          <w:tcPr>
            <w:tcW w:w="1870" w:type="dxa"/>
            <w:gridSpan w:val="2"/>
            <w:shd w:val="clear" w:color="auto" w:fill="BFBFBF" w:themeFill="background1" w:themeFillShade="BF"/>
          </w:tcPr>
          <w:p w:rsidR="00CE61E2" w:rsidRPr="00B57342" w:rsidP="00CE61E2" w14:paraId="01732FBE" w14:textId="77777777">
            <w:pPr>
              <w:pStyle w:val="ParaNum"/>
              <w:numPr>
                <w:ilvl w:val="0"/>
                <w:numId w:val="0"/>
              </w:numPr>
              <w:jc w:val="center"/>
              <w:rPr>
                <w:rFonts w:cs="Times New Roman"/>
                <w:b/>
                <w:szCs w:val="22"/>
              </w:rPr>
            </w:pPr>
          </w:p>
          <w:p w:rsidR="00CE61E2" w:rsidRPr="00085542" w:rsidP="00CE61E2" w14:paraId="3AFB4651" w14:textId="77777777">
            <w:pPr>
              <w:pStyle w:val="ParaNum"/>
              <w:numPr>
                <w:ilvl w:val="0"/>
                <w:numId w:val="0"/>
              </w:numPr>
              <w:jc w:val="center"/>
              <w:rPr>
                <w:rFonts w:cs="Times New Roman"/>
                <w:b/>
              </w:rPr>
            </w:pPr>
            <w:r w:rsidRPr="255FCAE1">
              <w:rPr>
                <w:rFonts w:cs="Times New Roman"/>
                <w:b/>
              </w:rPr>
              <w:t>Spanish</w:t>
            </w:r>
          </w:p>
        </w:tc>
        <w:tc>
          <w:tcPr>
            <w:tcW w:w="1870" w:type="dxa"/>
            <w:gridSpan w:val="2"/>
            <w:shd w:val="clear" w:color="auto" w:fill="BFBFBF" w:themeFill="background1" w:themeFillShade="BF"/>
          </w:tcPr>
          <w:p w:rsidR="00CE61E2" w:rsidRPr="00B57342" w:rsidP="00CE61E2" w14:paraId="54C57767" w14:textId="77777777">
            <w:pPr>
              <w:pStyle w:val="ParaNum"/>
              <w:numPr>
                <w:ilvl w:val="0"/>
                <w:numId w:val="0"/>
              </w:numPr>
              <w:jc w:val="center"/>
              <w:rPr>
                <w:rFonts w:cs="Times New Roman"/>
                <w:b/>
                <w:szCs w:val="22"/>
              </w:rPr>
            </w:pPr>
          </w:p>
          <w:p w:rsidR="00CE61E2" w:rsidRPr="00085542" w:rsidP="00CE61E2" w14:paraId="368297E4" w14:textId="77777777">
            <w:pPr>
              <w:pStyle w:val="ParaNum"/>
              <w:numPr>
                <w:ilvl w:val="0"/>
                <w:numId w:val="0"/>
              </w:numPr>
              <w:jc w:val="center"/>
              <w:rPr>
                <w:rFonts w:cs="Times New Roman"/>
                <w:b/>
              </w:rPr>
            </w:pPr>
            <w:r>
              <w:rPr>
                <w:rFonts w:cs="Times New Roman"/>
                <w:b/>
              </w:rPr>
              <w:t>Russian</w:t>
            </w:r>
          </w:p>
        </w:tc>
        <w:tc>
          <w:tcPr>
            <w:tcW w:w="1870" w:type="dxa"/>
            <w:gridSpan w:val="2"/>
            <w:shd w:val="clear" w:color="auto" w:fill="BFBFBF" w:themeFill="background1" w:themeFillShade="BF"/>
          </w:tcPr>
          <w:p w:rsidR="00CE61E2" w:rsidRPr="00B57342" w:rsidP="00CE61E2" w14:paraId="4B09C7C4" w14:textId="77777777">
            <w:pPr>
              <w:pStyle w:val="ParaNum"/>
              <w:numPr>
                <w:ilvl w:val="0"/>
                <w:numId w:val="0"/>
              </w:numPr>
              <w:jc w:val="center"/>
              <w:rPr>
                <w:rFonts w:cs="Times New Roman"/>
                <w:b/>
                <w:szCs w:val="22"/>
              </w:rPr>
            </w:pPr>
          </w:p>
          <w:p w:rsidR="00CE61E2" w:rsidRPr="00085542" w:rsidP="00CE61E2" w14:paraId="51417E0C" w14:textId="77777777">
            <w:pPr>
              <w:pStyle w:val="ParaNum"/>
              <w:numPr>
                <w:ilvl w:val="0"/>
                <w:numId w:val="0"/>
              </w:numPr>
              <w:jc w:val="center"/>
              <w:rPr>
                <w:rFonts w:cs="Times New Roman"/>
                <w:b/>
              </w:rPr>
            </w:pPr>
            <w:r w:rsidRPr="255FCAE1">
              <w:rPr>
                <w:rFonts w:cs="Times New Roman"/>
                <w:b/>
              </w:rPr>
              <w:t>Chinese</w:t>
            </w:r>
          </w:p>
        </w:tc>
      </w:tr>
      <w:tr w14:paraId="405D8319" w14:textId="77777777" w:rsidTr="00085542">
        <w:tblPrEx>
          <w:tblW w:w="0" w:type="auto"/>
          <w:tblLook w:val="04A0"/>
        </w:tblPrEx>
        <w:tc>
          <w:tcPr>
            <w:tcW w:w="935" w:type="dxa"/>
            <w:shd w:val="clear" w:color="auto" w:fill="BFBFBF" w:themeFill="background1" w:themeFillShade="BF"/>
            <w:vAlign w:val="center"/>
          </w:tcPr>
          <w:p w:rsidR="00CE61E2" w:rsidRPr="00CE61E2" w:rsidP="00CE61E2" w14:paraId="45F54142" w14:textId="77777777">
            <w:pPr>
              <w:pStyle w:val="ParaNum"/>
              <w:numPr>
                <w:ilvl w:val="0"/>
                <w:numId w:val="0"/>
              </w:numPr>
              <w:jc w:val="center"/>
              <w:rPr>
                <w:rFonts w:cs="Times New Roman"/>
                <w:b/>
                <w:szCs w:val="22"/>
              </w:rPr>
            </w:pPr>
            <w:r w:rsidRPr="00CE61E2">
              <w:rPr>
                <w:rFonts w:cs="Times New Roman"/>
                <w:b/>
                <w:szCs w:val="22"/>
              </w:rPr>
              <w:t>#</w:t>
            </w:r>
          </w:p>
        </w:tc>
        <w:tc>
          <w:tcPr>
            <w:tcW w:w="935" w:type="dxa"/>
            <w:shd w:val="clear" w:color="auto" w:fill="BFBFBF" w:themeFill="background1" w:themeFillShade="BF"/>
            <w:vAlign w:val="center"/>
          </w:tcPr>
          <w:p w:rsidR="00CE61E2" w:rsidRPr="00CE61E2" w:rsidP="00CE61E2" w14:paraId="6CD55797" w14:textId="77777777">
            <w:pPr>
              <w:pStyle w:val="ParaNum"/>
              <w:numPr>
                <w:ilvl w:val="0"/>
                <w:numId w:val="0"/>
              </w:numPr>
              <w:jc w:val="center"/>
              <w:rPr>
                <w:rFonts w:cs="Times New Roman"/>
                <w:b/>
                <w:szCs w:val="22"/>
              </w:rPr>
            </w:pPr>
            <w:r w:rsidRPr="00CE61E2">
              <w:rPr>
                <w:rFonts w:cs="Times New Roman"/>
                <w:b/>
                <w:szCs w:val="22"/>
              </w:rPr>
              <w:t>%</w:t>
            </w:r>
          </w:p>
        </w:tc>
        <w:tc>
          <w:tcPr>
            <w:tcW w:w="935" w:type="dxa"/>
            <w:shd w:val="clear" w:color="auto" w:fill="BFBFBF" w:themeFill="background1" w:themeFillShade="BF"/>
            <w:vAlign w:val="center"/>
          </w:tcPr>
          <w:p w:rsidR="00CE61E2" w:rsidRPr="00CE61E2" w:rsidP="00CE61E2" w14:paraId="4F8E3B28" w14:textId="77777777">
            <w:pPr>
              <w:pStyle w:val="ParaNum"/>
              <w:numPr>
                <w:ilvl w:val="0"/>
                <w:numId w:val="0"/>
              </w:numPr>
              <w:jc w:val="center"/>
              <w:rPr>
                <w:rFonts w:cs="Times New Roman"/>
                <w:b/>
              </w:rPr>
            </w:pPr>
            <w:r w:rsidRPr="00CE61E2">
              <w:rPr>
                <w:rFonts w:cs="Times New Roman"/>
                <w:b/>
              </w:rPr>
              <w:t>#</w:t>
            </w:r>
          </w:p>
        </w:tc>
        <w:tc>
          <w:tcPr>
            <w:tcW w:w="935" w:type="dxa"/>
            <w:shd w:val="clear" w:color="auto" w:fill="BFBFBF" w:themeFill="background1" w:themeFillShade="BF"/>
            <w:vAlign w:val="center"/>
          </w:tcPr>
          <w:p w:rsidR="00CE61E2" w:rsidRPr="00CE61E2" w:rsidP="00CE61E2" w14:paraId="1E805EC0" w14:textId="77777777">
            <w:pPr>
              <w:pStyle w:val="ParaNum"/>
              <w:numPr>
                <w:ilvl w:val="0"/>
                <w:numId w:val="0"/>
              </w:numPr>
              <w:jc w:val="center"/>
              <w:rPr>
                <w:rFonts w:cs="Times New Roman"/>
                <w:b/>
              </w:rPr>
            </w:pPr>
            <w:r w:rsidRPr="00CE61E2">
              <w:rPr>
                <w:rFonts w:cs="Times New Roman"/>
                <w:b/>
              </w:rPr>
              <w:t>%</w:t>
            </w:r>
          </w:p>
        </w:tc>
        <w:tc>
          <w:tcPr>
            <w:tcW w:w="935" w:type="dxa"/>
            <w:shd w:val="clear" w:color="auto" w:fill="BFBFBF" w:themeFill="background1" w:themeFillShade="BF"/>
            <w:vAlign w:val="center"/>
          </w:tcPr>
          <w:p w:rsidR="00CE61E2" w:rsidRPr="00CE61E2" w:rsidP="00CE61E2" w14:paraId="3DBFB0D6" w14:textId="77777777">
            <w:pPr>
              <w:pStyle w:val="ParaNum"/>
              <w:numPr>
                <w:ilvl w:val="0"/>
                <w:numId w:val="0"/>
              </w:numPr>
              <w:jc w:val="center"/>
              <w:rPr>
                <w:rFonts w:cs="Times New Roman"/>
                <w:b/>
                <w:szCs w:val="22"/>
              </w:rPr>
            </w:pPr>
            <w:r w:rsidRPr="00CE61E2">
              <w:rPr>
                <w:rFonts w:cs="Times New Roman"/>
                <w:b/>
                <w:szCs w:val="22"/>
              </w:rPr>
              <w:t>#</w:t>
            </w:r>
          </w:p>
        </w:tc>
        <w:tc>
          <w:tcPr>
            <w:tcW w:w="935" w:type="dxa"/>
            <w:shd w:val="clear" w:color="auto" w:fill="BFBFBF" w:themeFill="background1" w:themeFillShade="BF"/>
            <w:vAlign w:val="center"/>
          </w:tcPr>
          <w:p w:rsidR="00CE61E2" w:rsidRPr="00CE61E2" w:rsidP="00CE61E2" w14:paraId="7DEFC759" w14:textId="77777777">
            <w:pPr>
              <w:pStyle w:val="ParaNum"/>
              <w:numPr>
                <w:ilvl w:val="0"/>
                <w:numId w:val="0"/>
              </w:numPr>
              <w:jc w:val="center"/>
              <w:rPr>
                <w:rFonts w:cs="Times New Roman"/>
                <w:b/>
                <w:szCs w:val="22"/>
              </w:rPr>
            </w:pPr>
            <w:r w:rsidRPr="00CE61E2">
              <w:rPr>
                <w:rFonts w:cs="Times New Roman"/>
                <w:b/>
                <w:szCs w:val="22"/>
              </w:rPr>
              <w:t>%</w:t>
            </w:r>
          </w:p>
        </w:tc>
        <w:tc>
          <w:tcPr>
            <w:tcW w:w="935" w:type="dxa"/>
            <w:shd w:val="clear" w:color="auto" w:fill="BFBFBF" w:themeFill="background1" w:themeFillShade="BF"/>
            <w:vAlign w:val="center"/>
          </w:tcPr>
          <w:p w:rsidR="00CE61E2" w:rsidRPr="00CE61E2" w:rsidP="00CE61E2" w14:paraId="72BF97B7" w14:textId="77777777">
            <w:pPr>
              <w:pStyle w:val="ParaNum"/>
              <w:numPr>
                <w:ilvl w:val="0"/>
                <w:numId w:val="0"/>
              </w:numPr>
              <w:jc w:val="center"/>
              <w:rPr>
                <w:rFonts w:cs="Times New Roman"/>
                <w:b/>
                <w:szCs w:val="22"/>
              </w:rPr>
            </w:pPr>
            <w:r w:rsidRPr="00CE61E2">
              <w:rPr>
                <w:rFonts w:cs="Times New Roman"/>
                <w:b/>
                <w:szCs w:val="22"/>
              </w:rPr>
              <w:t>#</w:t>
            </w:r>
          </w:p>
        </w:tc>
        <w:tc>
          <w:tcPr>
            <w:tcW w:w="935" w:type="dxa"/>
            <w:shd w:val="clear" w:color="auto" w:fill="BFBFBF" w:themeFill="background1" w:themeFillShade="BF"/>
            <w:vAlign w:val="center"/>
          </w:tcPr>
          <w:p w:rsidR="00CE61E2" w:rsidRPr="00CE61E2" w:rsidP="00CE61E2" w14:paraId="3B2C4762" w14:textId="77777777">
            <w:pPr>
              <w:pStyle w:val="ParaNum"/>
              <w:numPr>
                <w:ilvl w:val="0"/>
                <w:numId w:val="0"/>
              </w:numPr>
              <w:jc w:val="center"/>
              <w:rPr>
                <w:rFonts w:cs="Times New Roman"/>
                <w:b/>
                <w:szCs w:val="22"/>
              </w:rPr>
            </w:pPr>
            <w:r w:rsidRPr="00CE61E2">
              <w:rPr>
                <w:rFonts w:cs="Times New Roman"/>
                <w:b/>
              </w:rPr>
              <w:t>%</w:t>
            </w:r>
          </w:p>
        </w:tc>
        <w:tc>
          <w:tcPr>
            <w:tcW w:w="935" w:type="dxa"/>
            <w:shd w:val="clear" w:color="auto" w:fill="BFBFBF" w:themeFill="background1" w:themeFillShade="BF"/>
            <w:vAlign w:val="center"/>
          </w:tcPr>
          <w:p w:rsidR="00CE61E2" w:rsidRPr="00CE61E2" w:rsidP="00CE61E2" w14:paraId="2CBB56D7" w14:textId="77777777">
            <w:pPr>
              <w:pStyle w:val="ParaNum"/>
              <w:numPr>
                <w:ilvl w:val="0"/>
                <w:numId w:val="0"/>
              </w:numPr>
              <w:jc w:val="center"/>
              <w:rPr>
                <w:rFonts w:cs="Times New Roman"/>
                <w:b/>
                <w:szCs w:val="22"/>
              </w:rPr>
            </w:pPr>
            <w:r w:rsidRPr="00CE61E2">
              <w:rPr>
                <w:rFonts w:cs="Times New Roman"/>
                <w:b/>
              </w:rPr>
              <w:t>#</w:t>
            </w:r>
          </w:p>
        </w:tc>
        <w:tc>
          <w:tcPr>
            <w:tcW w:w="935" w:type="dxa"/>
            <w:shd w:val="clear" w:color="auto" w:fill="BFBFBF" w:themeFill="background1" w:themeFillShade="BF"/>
            <w:vAlign w:val="center"/>
          </w:tcPr>
          <w:p w:rsidR="00CE61E2" w:rsidRPr="00CE61E2" w:rsidP="00CE61E2" w14:paraId="29FF4096" w14:textId="77777777">
            <w:pPr>
              <w:pStyle w:val="ParaNum"/>
              <w:numPr>
                <w:ilvl w:val="0"/>
                <w:numId w:val="0"/>
              </w:numPr>
              <w:jc w:val="center"/>
              <w:rPr>
                <w:rFonts w:cs="Times New Roman"/>
                <w:b/>
                <w:szCs w:val="22"/>
              </w:rPr>
            </w:pPr>
            <w:r w:rsidRPr="00CE61E2">
              <w:rPr>
                <w:rFonts w:cs="Times New Roman"/>
                <w:b/>
                <w:szCs w:val="22"/>
              </w:rPr>
              <w:t>%</w:t>
            </w:r>
          </w:p>
        </w:tc>
      </w:tr>
      <w:tr w14:paraId="72DC73D1" w14:textId="77777777" w:rsidTr="00085542">
        <w:tblPrEx>
          <w:tblW w:w="0" w:type="auto"/>
          <w:tblLook w:val="04A0"/>
        </w:tblPrEx>
        <w:tc>
          <w:tcPr>
            <w:tcW w:w="935" w:type="dxa"/>
            <w:vAlign w:val="center"/>
          </w:tcPr>
          <w:p w:rsidR="00CE61E2" w:rsidRPr="001258FC" w:rsidP="00CE61E2" w14:paraId="5E7B304B" w14:textId="77777777">
            <w:pPr>
              <w:pStyle w:val="ParaNum"/>
              <w:numPr>
                <w:ilvl w:val="0"/>
                <w:numId w:val="0"/>
              </w:numPr>
              <w:jc w:val="center"/>
              <w:rPr>
                <w:rFonts w:cs="Times New Roman"/>
              </w:rPr>
            </w:pPr>
            <w:r w:rsidRPr="001258FC">
              <w:rPr>
                <w:rFonts w:cs="Times New Roman"/>
              </w:rPr>
              <w:t>11891</w:t>
            </w:r>
          </w:p>
        </w:tc>
        <w:tc>
          <w:tcPr>
            <w:tcW w:w="935" w:type="dxa"/>
            <w:shd w:val="clear" w:color="auto" w:fill="auto"/>
            <w:vAlign w:val="center"/>
          </w:tcPr>
          <w:p w:rsidR="00CE61E2" w:rsidRPr="001258FC" w:rsidP="00CE61E2" w14:paraId="36F8A1C3" w14:textId="77777777">
            <w:pPr>
              <w:pStyle w:val="ParaNum"/>
              <w:numPr>
                <w:ilvl w:val="0"/>
                <w:numId w:val="0"/>
              </w:numPr>
              <w:jc w:val="center"/>
              <w:rPr>
                <w:rFonts w:cs="Times New Roman"/>
              </w:rPr>
            </w:pPr>
            <w:r w:rsidRPr="001258FC">
              <w:rPr>
                <w:rFonts w:cs="Times New Roman"/>
              </w:rPr>
              <w:t>92%</w:t>
            </w:r>
          </w:p>
        </w:tc>
        <w:tc>
          <w:tcPr>
            <w:tcW w:w="935" w:type="dxa"/>
            <w:shd w:val="clear" w:color="auto" w:fill="auto"/>
            <w:vAlign w:val="center"/>
          </w:tcPr>
          <w:p w:rsidR="00CE61E2" w:rsidRPr="001258FC" w:rsidP="00CE61E2" w14:paraId="7B627A9F" w14:textId="77777777">
            <w:pPr>
              <w:pStyle w:val="ParaNum"/>
              <w:numPr>
                <w:ilvl w:val="0"/>
                <w:numId w:val="0"/>
              </w:numPr>
              <w:jc w:val="center"/>
              <w:rPr>
                <w:rFonts w:cs="Times New Roman"/>
              </w:rPr>
            </w:pPr>
            <w:r w:rsidRPr="001258FC">
              <w:rPr>
                <w:rFonts w:cs="Times New Roman"/>
              </w:rPr>
              <w:t>799</w:t>
            </w:r>
          </w:p>
        </w:tc>
        <w:tc>
          <w:tcPr>
            <w:tcW w:w="935" w:type="dxa"/>
            <w:shd w:val="clear" w:color="auto" w:fill="auto"/>
            <w:vAlign w:val="center"/>
          </w:tcPr>
          <w:p w:rsidR="00CE61E2" w:rsidRPr="001258FC" w:rsidP="00CE61E2" w14:paraId="0C071C3A" w14:textId="77777777">
            <w:pPr>
              <w:pStyle w:val="ParaNum"/>
              <w:numPr>
                <w:ilvl w:val="0"/>
                <w:numId w:val="0"/>
              </w:numPr>
              <w:jc w:val="center"/>
              <w:rPr>
                <w:rFonts w:cs="Times New Roman"/>
              </w:rPr>
            </w:pPr>
            <w:r w:rsidRPr="001258FC">
              <w:rPr>
                <w:rFonts w:cs="Times New Roman"/>
              </w:rPr>
              <w:t>6.2%</w:t>
            </w:r>
          </w:p>
        </w:tc>
        <w:tc>
          <w:tcPr>
            <w:tcW w:w="935" w:type="dxa"/>
            <w:shd w:val="clear" w:color="auto" w:fill="auto"/>
            <w:vAlign w:val="center"/>
          </w:tcPr>
          <w:p w:rsidR="00CE61E2" w:rsidRPr="001258FC" w:rsidP="00CE61E2" w14:paraId="07D2974B" w14:textId="77777777">
            <w:pPr>
              <w:pStyle w:val="ParaNum"/>
              <w:numPr>
                <w:ilvl w:val="0"/>
                <w:numId w:val="0"/>
              </w:numPr>
              <w:jc w:val="center"/>
              <w:rPr>
                <w:rFonts w:cs="Times New Roman"/>
              </w:rPr>
            </w:pPr>
            <w:r w:rsidRPr="001258FC">
              <w:rPr>
                <w:rFonts w:cs="Times New Roman"/>
              </w:rPr>
              <w:t>206</w:t>
            </w:r>
          </w:p>
        </w:tc>
        <w:tc>
          <w:tcPr>
            <w:tcW w:w="935" w:type="dxa"/>
            <w:shd w:val="clear" w:color="auto" w:fill="auto"/>
            <w:vAlign w:val="center"/>
          </w:tcPr>
          <w:p w:rsidR="00CE61E2" w:rsidRPr="001258FC" w:rsidP="00CE61E2" w14:paraId="3502D0E5" w14:textId="77777777">
            <w:pPr>
              <w:pStyle w:val="ParaNum"/>
              <w:numPr>
                <w:ilvl w:val="0"/>
                <w:numId w:val="0"/>
              </w:numPr>
              <w:jc w:val="center"/>
              <w:rPr>
                <w:rFonts w:cs="Times New Roman"/>
              </w:rPr>
            </w:pPr>
            <w:r w:rsidRPr="001258FC">
              <w:rPr>
                <w:rFonts w:cs="Times New Roman"/>
              </w:rPr>
              <w:t>1</w:t>
            </w:r>
            <w:r w:rsidRPr="001258FC">
              <w:t>.6%</w:t>
            </w:r>
          </w:p>
        </w:tc>
        <w:tc>
          <w:tcPr>
            <w:tcW w:w="935" w:type="dxa"/>
            <w:shd w:val="clear" w:color="auto" w:fill="auto"/>
            <w:vAlign w:val="center"/>
          </w:tcPr>
          <w:p w:rsidR="00CE61E2" w:rsidRPr="001258FC" w:rsidP="00CE61E2" w14:paraId="4814A0F5" w14:textId="77777777">
            <w:pPr>
              <w:pStyle w:val="ParaNum"/>
              <w:numPr>
                <w:ilvl w:val="0"/>
                <w:numId w:val="0"/>
              </w:numPr>
              <w:jc w:val="center"/>
              <w:rPr>
                <w:rFonts w:cs="Times New Roman"/>
              </w:rPr>
            </w:pPr>
            <w:r w:rsidRPr="001258FC">
              <w:rPr>
                <w:rFonts w:cs="Times New Roman"/>
              </w:rPr>
              <w:t>2</w:t>
            </w:r>
          </w:p>
        </w:tc>
        <w:tc>
          <w:tcPr>
            <w:tcW w:w="935" w:type="dxa"/>
            <w:shd w:val="clear" w:color="auto" w:fill="auto"/>
            <w:vAlign w:val="center"/>
          </w:tcPr>
          <w:p w:rsidR="00CE61E2" w:rsidRPr="001258FC" w:rsidP="00CE61E2" w14:paraId="5A6FA095" w14:textId="77777777">
            <w:pPr>
              <w:pStyle w:val="ParaNum"/>
              <w:numPr>
                <w:ilvl w:val="0"/>
                <w:numId w:val="0"/>
              </w:numPr>
              <w:jc w:val="center"/>
              <w:rPr>
                <w:rFonts w:cs="Times New Roman"/>
              </w:rPr>
            </w:pPr>
            <w:r w:rsidRPr="001258FC">
              <w:rPr>
                <w:rFonts w:cs="Times New Roman"/>
              </w:rPr>
              <w:t>0.0%</w:t>
            </w:r>
          </w:p>
        </w:tc>
        <w:tc>
          <w:tcPr>
            <w:tcW w:w="935" w:type="dxa"/>
            <w:shd w:val="clear" w:color="auto" w:fill="auto"/>
            <w:vAlign w:val="center"/>
          </w:tcPr>
          <w:p w:rsidR="00CE61E2" w:rsidRPr="001258FC" w:rsidP="00CE61E2" w14:paraId="07705C35" w14:textId="77777777">
            <w:pPr>
              <w:pStyle w:val="ParaNum"/>
              <w:numPr>
                <w:ilvl w:val="0"/>
                <w:numId w:val="0"/>
              </w:numPr>
              <w:jc w:val="center"/>
              <w:rPr>
                <w:rFonts w:cs="Times New Roman"/>
              </w:rPr>
            </w:pPr>
            <w:r w:rsidRPr="001258FC">
              <w:rPr>
                <w:rFonts w:cs="Times New Roman"/>
              </w:rPr>
              <w:t>2</w:t>
            </w:r>
          </w:p>
        </w:tc>
        <w:tc>
          <w:tcPr>
            <w:tcW w:w="935" w:type="dxa"/>
            <w:shd w:val="clear" w:color="auto" w:fill="auto"/>
            <w:vAlign w:val="center"/>
          </w:tcPr>
          <w:p w:rsidR="00CE61E2" w:rsidRPr="001258FC" w:rsidP="00CE61E2" w14:paraId="7C8E1C31" w14:textId="77777777">
            <w:pPr>
              <w:pStyle w:val="ParaNum"/>
              <w:numPr>
                <w:ilvl w:val="0"/>
                <w:numId w:val="0"/>
              </w:numPr>
              <w:jc w:val="center"/>
              <w:rPr>
                <w:rFonts w:cs="Times New Roman"/>
              </w:rPr>
            </w:pPr>
            <w:r w:rsidRPr="001258FC">
              <w:rPr>
                <w:rFonts w:cs="Times New Roman"/>
              </w:rPr>
              <w:t>0.0%</w:t>
            </w:r>
          </w:p>
        </w:tc>
      </w:tr>
      <w:bookmarkEnd w:id="330"/>
    </w:tbl>
    <w:p w:rsidR="009611A8" w:rsidRPr="00B57342" w:rsidP="006642C3" w14:paraId="0E54080C" w14:textId="77777777">
      <w:pPr>
        <w:pStyle w:val="ParaNum"/>
        <w:numPr>
          <w:ilvl w:val="0"/>
          <w:numId w:val="0"/>
        </w:numPr>
        <w:rPr>
          <w:rFonts w:cs="Times New Roman"/>
          <w:szCs w:val="22"/>
        </w:rPr>
      </w:pPr>
    </w:p>
    <w:p w:rsidR="00BE39CF" w14:paraId="48C57639" w14:textId="1AC7F0EA">
      <w:pPr>
        <w:rPr>
          <w:rFonts w:ascii="Times New Roman Bold" w:hAnsi="Times New Roman Bold"/>
          <w:b/>
          <w:caps/>
        </w:rPr>
      </w:pPr>
      <w:bookmarkStart w:id="331" w:name="_Toc507169482"/>
      <w:bookmarkStart w:id="332" w:name="_Toc507169611"/>
      <w:bookmarkStart w:id="333" w:name="_Toc507169936"/>
      <w:bookmarkStart w:id="334" w:name="_Toc507170372"/>
      <w:bookmarkStart w:id="335" w:name="_Toc507170718"/>
      <w:bookmarkStart w:id="336" w:name="_Toc507171314"/>
      <w:bookmarkStart w:id="337" w:name="_Toc507171677"/>
      <w:bookmarkStart w:id="338" w:name="_Toc507772337"/>
      <w:bookmarkStart w:id="339" w:name="_Toc507772724"/>
      <w:bookmarkStart w:id="340" w:name="_Toc508315410"/>
      <w:bookmarkStart w:id="341" w:name="_Toc508315995"/>
      <w:bookmarkStart w:id="342" w:name="_Toc511291567"/>
      <w:bookmarkStart w:id="343" w:name="_Toc511292359"/>
    </w:p>
    <w:p w:rsidR="00343A2C" w:rsidRPr="00785A17" w:rsidP="00091DBB" w14:paraId="5A553595" w14:textId="77777777">
      <w:pPr>
        <w:pStyle w:val="Heading1"/>
      </w:pPr>
      <w:bookmarkStart w:id="344" w:name="_Toc5614039"/>
      <w:r w:rsidRPr="00785A17">
        <w:t xml:space="preserve">ANALYSIS OF MOST SIGNIFICANT </w:t>
      </w:r>
      <w:bookmarkEnd w:id="327"/>
      <w:bookmarkEnd w:id="328"/>
      <w:bookmarkEnd w:id="329"/>
      <w:bookmarkEnd w:id="331"/>
      <w:bookmarkEnd w:id="332"/>
      <w:bookmarkEnd w:id="333"/>
      <w:bookmarkEnd w:id="334"/>
      <w:bookmarkEnd w:id="335"/>
      <w:bookmarkEnd w:id="336"/>
      <w:bookmarkEnd w:id="337"/>
      <w:r w:rsidR="003105AE">
        <w:t>ISSUES</w:t>
      </w:r>
      <w:bookmarkEnd w:id="338"/>
      <w:bookmarkEnd w:id="339"/>
      <w:bookmarkEnd w:id="340"/>
      <w:bookmarkEnd w:id="341"/>
      <w:bookmarkEnd w:id="342"/>
      <w:bookmarkEnd w:id="343"/>
      <w:bookmarkEnd w:id="344"/>
    </w:p>
    <w:p w:rsidR="00405018" w:rsidP="00A0777D" w14:paraId="11F57CE8" w14:textId="77777777">
      <w:pPr>
        <w:pStyle w:val="Heading2"/>
      </w:pPr>
      <w:bookmarkStart w:id="345" w:name="_Toc5614040"/>
      <w:r>
        <w:t>The Nationwide WEA Test</w:t>
      </w:r>
      <w:bookmarkEnd w:id="345"/>
    </w:p>
    <w:p w:rsidR="00405018" w:rsidP="00405018" w14:paraId="11C599B7" w14:textId="2246FD43">
      <w:pPr>
        <w:pStyle w:val="ParaNum"/>
        <w:numPr>
          <w:ilvl w:val="0"/>
          <w:numId w:val="0"/>
        </w:numPr>
      </w:pPr>
      <w:r>
        <w:t xml:space="preserve">PSHSB has assessed data and informal feedback from a variety of sources to identify complications or issues that the public may have encountered during the WEA portion of the </w:t>
      </w:r>
      <w:r w:rsidR="00703FE6">
        <w:t>n</w:t>
      </w:r>
      <w:r>
        <w:t xml:space="preserve">ationwide </w:t>
      </w:r>
      <w:r w:rsidR="00703FE6">
        <w:t>t</w:t>
      </w:r>
      <w:r>
        <w:t>est.</w:t>
      </w:r>
      <w:r w:rsidR="00515391">
        <w:t xml:space="preserve">  Overall, the most significant issues identified include inconsistent delivery, duplicate alert messages, audio and vibration cadence issues, and accessibility issues.</w:t>
      </w:r>
    </w:p>
    <w:p w:rsidR="00405018" w:rsidP="00405018" w14:paraId="64A6B541" w14:textId="77777777">
      <w:pPr>
        <w:pStyle w:val="Heading3"/>
      </w:pPr>
      <w:bookmarkStart w:id="346" w:name="_Toc5614041"/>
      <w:r>
        <w:t>Inconsistent Delivery Reports</w:t>
      </w:r>
      <w:bookmarkEnd w:id="346"/>
    </w:p>
    <w:p w:rsidR="00405018" w:rsidP="00405018" w14:paraId="753629CC" w14:textId="4A0CD90F">
      <w:pPr>
        <w:pStyle w:val="ParaNum"/>
        <w:numPr>
          <w:ilvl w:val="0"/>
          <w:numId w:val="0"/>
        </w:numPr>
      </w:pPr>
      <w:r w:rsidRPr="007801C9">
        <w:t>News reports indicate that in certain portions of the country, Participating CMS Providers did not successfully deliver the WEA test message</w:t>
      </w:r>
      <w:r w:rsidR="003B0538">
        <w:t xml:space="preserve"> as a result of service outages</w:t>
      </w:r>
      <w:r w:rsidRPr="007801C9">
        <w:t>.</w:t>
      </w:r>
      <w:r>
        <w:rPr>
          <w:vertAlign w:val="superscript"/>
        </w:rPr>
        <w:footnoteReference w:id="75"/>
      </w:r>
      <w:r w:rsidRPr="007801C9">
        <w:t xml:space="preserve">  </w:t>
      </w:r>
      <w:r w:rsidR="003B0538">
        <w:t>Specifically, s</w:t>
      </w:r>
      <w:r>
        <w:t xml:space="preserve">ome news reports indicated that shortly after the </w:t>
      </w:r>
      <w:r w:rsidR="007500C6">
        <w:t>n</w:t>
      </w:r>
      <w:r>
        <w:t xml:space="preserve">ationwide WEA </w:t>
      </w:r>
      <w:r w:rsidR="007500C6">
        <w:t>t</w:t>
      </w:r>
      <w:r>
        <w:t xml:space="preserve">est, AT&amp;T Wireless </w:t>
      </w:r>
      <w:r w:rsidR="003B0538">
        <w:t xml:space="preserve">and T-Mobile </w:t>
      </w:r>
      <w:r>
        <w:t>experienced a widespread outage in parts of Washington, Alaska, California, and Oregon.</w:t>
      </w:r>
      <w:r>
        <w:rPr>
          <w:rStyle w:val="FootnoteReference"/>
        </w:rPr>
        <w:footnoteReference w:id="76"/>
      </w:r>
      <w:r>
        <w:t xml:space="preserve">  </w:t>
      </w:r>
      <w:r w:rsidRPr="007801C9">
        <w:t>Other news reports indicated that WEA receipt was uneven, with some individuals receiving the alert while others in the same region did not.</w:t>
      </w:r>
      <w:r>
        <w:rPr>
          <w:vertAlign w:val="superscript"/>
        </w:rPr>
        <w:footnoteReference w:id="77"/>
      </w:r>
      <w:r w:rsidRPr="007801C9">
        <w:t xml:space="preserve">  </w:t>
      </w:r>
      <w:r>
        <w:t xml:space="preserve">Some reports identify trends, such as </w:t>
      </w:r>
      <w:r w:rsidR="00E253A2">
        <w:t xml:space="preserve">delivery problems occurring in </w:t>
      </w:r>
      <w:r>
        <w:t>newer devices</w:t>
      </w:r>
      <w:r w:rsidR="00D33D2C">
        <w:t xml:space="preserve"> </w:t>
      </w:r>
      <w:r w:rsidR="00E253A2">
        <w:t xml:space="preserve">that </w:t>
      </w:r>
      <w:r w:rsidR="00183AED">
        <w:t xml:space="preserve">had not undergone testing prior to the nationwide test </w:t>
      </w:r>
      <w:r w:rsidR="00D33D2C">
        <w:t xml:space="preserve">to troubleshoot </w:t>
      </w:r>
      <w:r w:rsidR="00183AED">
        <w:t xml:space="preserve">potential </w:t>
      </w:r>
      <w:r w:rsidR="00D33D2C">
        <w:t>issues</w:t>
      </w:r>
      <w:r w:rsidR="00183AED">
        <w:t>,</w:t>
      </w:r>
      <w:r>
        <w:rPr>
          <w:rStyle w:val="FootnoteReference"/>
        </w:rPr>
        <w:footnoteReference w:id="78"/>
      </w:r>
      <w:r>
        <w:t xml:space="preserve"> or </w:t>
      </w:r>
      <w:r>
        <w:t>service provided by a particular wireless provider,</w:t>
      </w:r>
      <w:r>
        <w:rPr>
          <w:rStyle w:val="FootnoteReference"/>
        </w:rPr>
        <w:footnoteReference w:id="79"/>
      </w:r>
      <w:r>
        <w:t xml:space="preserve"> to explain why some people did not receive the WEA test message.  However, most media coverage notes that failure to receive the test message was not unique to any particular device, location, or wireless provider.</w:t>
      </w:r>
      <w:r>
        <w:rPr>
          <w:rStyle w:val="FootnoteReference"/>
        </w:rPr>
        <w:footnoteReference w:id="80"/>
      </w:r>
      <w:r>
        <w:t xml:space="preserve"> </w:t>
      </w:r>
    </w:p>
    <w:p w:rsidR="00405018" w:rsidP="00405018" w14:paraId="39EE6D32" w14:textId="682F2D18">
      <w:pPr>
        <w:pStyle w:val="ParaNum"/>
        <w:numPr>
          <w:ilvl w:val="0"/>
          <w:numId w:val="0"/>
        </w:numPr>
      </w:pPr>
      <w:r>
        <w:t>Data received through the P</w:t>
      </w:r>
      <w:r w:rsidR="00E253A2">
        <w:t xml:space="preserve">ublic </w:t>
      </w:r>
      <w:r>
        <w:t>S</w:t>
      </w:r>
      <w:r w:rsidR="00E253A2">
        <w:t xml:space="preserve">afety </w:t>
      </w:r>
      <w:r>
        <w:t>S</w:t>
      </w:r>
      <w:r w:rsidR="00940CD3">
        <w:t>upport</w:t>
      </w:r>
      <w:r w:rsidR="00E253A2">
        <w:t xml:space="preserve"> </w:t>
      </w:r>
      <w:r>
        <w:t>C</w:t>
      </w:r>
      <w:r w:rsidR="00E253A2">
        <w:t>enter</w:t>
      </w:r>
      <w:r>
        <w:rPr>
          <w:rStyle w:val="FootnoteReference"/>
        </w:rPr>
        <w:footnoteReference w:id="81"/>
      </w:r>
      <w:r>
        <w:t xml:space="preserve"> and anecdotally to PSHSB staff also report delays in delivery or service interruptions related to receiving the WEA test message.  Three reports to the P</w:t>
      </w:r>
      <w:r w:rsidR="00E253A2">
        <w:t xml:space="preserve">ublic </w:t>
      </w:r>
      <w:r>
        <w:t>S</w:t>
      </w:r>
      <w:r w:rsidR="00E253A2">
        <w:t xml:space="preserve">afety </w:t>
      </w:r>
      <w:r>
        <w:t>S</w:t>
      </w:r>
      <w:r w:rsidR="00940CD3">
        <w:t>upport</w:t>
      </w:r>
      <w:r w:rsidR="00E253A2">
        <w:t xml:space="preserve"> </w:t>
      </w:r>
      <w:r>
        <w:t>C</w:t>
      </w:r>
      <w:r w:rsidR="00E253A2">
        <w:t>enter</w:t>
      </w:r>
      <w:r>
        <w:t xml:space="preserve"> reported receiving the message later than the test was administered, ranging from five minutes to 30 minutes.  Five consumers noted that receiving the test message caused some interruption to their voice, text, or data service.   </w:t>
      </w:r>
    </w:p>
    <w:p w:rsidR="00405018" w:rsidRPr="00AE5800" w:rsidP="00405018" w14:paraId="0ADFFB32" w14:textId="77777777">
      <w:pPr>
        <w:pStyle w:val="Heading3"/>
      </w:pPr>
      <w:bookmarkStart w:id="347" w:name="_Toc5614042"/>
      <w:r>
        <w:t>Duplicate Messages</w:t>
      </w:r>
      <w:bookmarkEnd w:id="347"/>
    </w:p>
    <w:p w:rsidR="00405018" w:rsidRPr="00AE5800" w:rsidP="00405018" w14:paraId="4DB47372" w14:textId="0C24E3AC">
      <w:pPr>
        <w:spacing w:after="120"/>
        <w:rPr>
          <w:b/>
        </w:rPr>
      </w:pPr>
      <w:r w:rsidRPr="00AE5800">
        <w:t>Several consumers reported receiving multiple WEA test messages delivered to their handsets following the test.</w:t>
      </w:r>
      <w:r>
        <w:rPr>
          <w:rStyle w:val="FootnoteReference"/>
        </w:rPr>
        <w:footnoteReference w:id="82"/>
      </w:r>
      <w:r w:rsidRPr="00AE5800">
        <w:t xml:space="preserve">  Of the data reported through the P</w:t>
      </w:r>
      <w:r w:rsidR="00E253A2">
        <w:t xml:space="preserve">ublic </w:t>
      </w:r>
      <w:r w:rsidRPr="00AE5800">
        <w:t>S</w:t>
      </w:r>
      <w:r w:rsidR="00E253A2">
        <w:t xml:space="preserve">afety </w:t>
      </w:r>
      <w:r w:rsidRPr="00AE5800">
        <w:t>S</w:t>
      </w:r>
      <w:r w:rsidR="00940CD3">
        <w:t>upport</w:t>
      </w:r>
      <w:r w:rsidR="00E253A2">
        <w:t xml:space="preserve"> </w:t>
      </w:r>
      <w:r w:rsidRPr="00AE5800">
        <w:t>C</w:t>
      </w:r>
      <w:r w:rsidR="00E253A2">
        <w:t>enter</w:t>
      </w:r>
      <w:r w:rsidRPr="00AE5800">
        <w:t xml:space="preserve"> and to PSHSB staff, 11 reported receiving duplicate test messages, ranging from a couple messages received in the minutes after the test to tens of messages in the following days.  One consumer reported through the P</w:t>
      </w:r>
      <w:r w:rsidR="00E253A2">
        <w:t xml:space="preserve">ublic </w:t>
      </w:r>
      <w:r w:rsidRPr="00AE5800">
        <w:t>S</w:t>
      </w:r>
      <w:r w:rsidR="00E253A2">
        <w:t xml:space="preserve">afety </w:t>
      </w:r>
      <w:r w:rsidRPr="00AE5800">
        <w:t>S</w:t>
      </w:r>
      <w:r w:rsidR="00940CD3">
        <w:t>upport</w:t>
      </w:r>
      <w:r w:rsidR="00E253A2">
        <w:t xml:space="preserve"> </w:t>
      </w:r>
      <w:r w:rsidRPr="00AE5800">
        <w:t>C</w:t>
      </w:r>
      <w:r w:rsidR="00E253A2">
        <w:t>enter</w:t>
      </w:r>
      <w:r w:rsidRPr="00AE5800">
        <w:t xml:space="preserve"> that they received the test message 100 times in 36 hours, with the message coming in waves of 4-5 alerts in a 20-30-minute span.  Another tweeted about receiving the alert 28 times.  Some reports indicated that receiving multiple alerts was related to service, for example, having the test message pop up every time upon call completion.  </w:t>
      </w:r>
    </w:p>
    <w:p w:rsidR="00405018" w:rsidP="00405018" w14:paraId="1EBDC4CB" w14:textId="77777777">
      <w:pPr>
        <w:pStyle w:val="Heading3"/>
      </w:pPr>
      <w:bookmarkStart w:id="348" w:name="_Toc5614043"/>
      <w:r>
        <w:t xml:space="preserve">Audio </w:t>
      </w:r>
      <w:r w:rsidR="00D33D2C">
        <w:t xml:space="preserve">and Vibration Cadence </w:t>
      </w:r>
      <w:r>
        <w:t>Issues</w:t>
      </w:r>
      <w:bookmarkEnd w:id="348"/>
    </w:p>
    <w:p w:rsidR="00405018" w:rsidP="00405018" w14:paraId="71335431" w14:textId="488205F7">
      <w:pPr>
        <w:pStyle w:val="ParaNum"/>
        <w:numPr>
          <w:ilvl w:val="0"/>
          <w:numId w:val="0"/>
        </w:numPr>
      </w:pPr>
      <w:r>
        <w:t xml:space="preserve">The majority of issues reported </w:t>
      </w:r>
      <w:r w:rsidR="00E253A2">
        <w:t xml:space="preserve">among those that received </w:t>
      </w:r>
      <w:r>
        <w:t>the WEA test message concern the alert signal or vibration cadence.</w:t>
      </w:r>
      <w:r>
        <w:rPr>
          <w:rStyle w:val="FootnoteReference"/>
        </w:rPr>
        <w:footnoteReference w:id="83"/>
      </w:r>
      <w:r>
        <w:t xml:space="preserve">  From the P</w:t>
      </w:r>
      <w:r w:rsidR="00E253A2">
        <w:t xml:space="preserve">ublic </w:t>
      </w:r>
      <w:r>
        <w:t>S</w:t>
      </w:r>
      <w:r w:rsidR="00E253A2">
        <w:t xml:space="preserve">afety </w:t>
      </w:r>
      <w:r>
        <w:t>S</w:t>
      </w:r>
      <w:r w:rsidR="00940CD3">
        <w:t>upport</w:t>
      </w:r>
      <w:r w:rsidR="00E253A2">
        <w:t xml:space="preserve"> </w:t>
      </w:r>
      <w:r>
        <w:t>C</w:t>
      </w:r>
      <w:r w:rsidR="00E253A2">
        <w:t>enter</w:t>
      </w:r>
      <w:r>
        <w:t xml:space="preserve"> data reported, 10 indicated they did not receive the alert signal or the vibration cadence with the alert.  Additionally, eight reported that they did not receive the alert signal or the vibration cadence but expected as much because of their phone’s audio setting.  Everbridge similarly reported that most respondents who reported receiving the alert did not hear the alert signal, “likely because they put their phone on silent.”</w:t>
      </w:r>
      <w:r>
        <w:rPr>
          <w:rStyle w:val="FootnoteReference"/>
        </w:rPr>
        <w:footnoteReference w:id="84"/>
      </w:r>
      <w:r>
        <w:t xml:space="preserve">  Conversely, in four instances reported through the P</w:t>
      </w:r>
      <w:r w:rsidR="00257BC1">
        <w:t xml:space="preserve">ublic </w:t>
      </w:r>
      <w:r>
        <w:t>S</w:t>
      </w:r>
      <w:r w:rsidR="00257BC1">
        <w:t xml:space="preserve">afety </w:t>
      </w:r>
      <w:r>
        <w:t>S</w:t>
      </w:r>
      <w:r w:rsidR="00940CD3">
        <w:t>upport</w:t>
      </w:r>
      <w:r w:rsidR="00257BC1">
        <w:t xml:space="preserve"> </w:t>
      </w:r>
      <w:r>
        <w:t>C</w:t>
      </w:r>
      <w:r w:rsidR="00257BC1">
        <w:t>enter</w:t>
      </w:r>
      <w:r>
        <w:t xml:space="preserve">, the alert made either the alert signal tone or the vibration </w:t>
      </w:r>
      <w:r>
        <w:t>cadence, despite the phone’s ringtone setting set to silent/vibrate only or Do Not Disturb.  Through the P</w:t>
      </w:r>
      <w:r w:rsidR="00DC26ED">
        <w:t xml:space="preserve">ublic </w:t>
      </w:r>
      <w:r>
        <w:t>S</w:t>
      </w:r>
      <w:r w:rsidR="00DC26ED">
        <w:t xml:space="preserve">afety </w:t>
      </w:r>
      <w:r>
        <w:t>S</w:t>
      </w:r>
      <w:r w:rsidR="00DC26ED">
        <w:t xml:space="preserve">upport </w:t>
      </w:r>
      <w:r>
        <w:t>C</w:t>
      </w:r>
      <w:r w:rsidR="00DC26ED">
        <w:t>enter</w:t>
      </w:r>
      <w:r>
        <w:t xml:space="preserve"> and anecdotally, PSHSB received reports of six mobile phones where the alert signal tone was received but the alert message was not.</w:t>
      </w:r>
    </w:p>
    <w:p w:rsidR="00405018" w:rsidP="00405018" w14:paraId="5931E1B2" w14:textId="77777777">
      <w:pPr>
        <w:pStyle w:val="Heading3"/>
      </w:pPr>
      <w:bookmarkStart w:id="349" w:name="_Toc5614044"/>
      <w:r>
        <w:t>Accessibility Issues</w:t>
      </w:r>
      <w:bookmarkEnd w:id="349"/>
    </w:p>
    <w:p w:rsidR="00405018" w:rsidRPr="00405018" w:rsidP="001D3751" w14:paraId="69AC5A47" w14:textId="19BB2F7D">
      <w:pPr>
        <w:spacing w:before="120"/>
      </w:pPr>
      <w:r>
        <w:rPr>
          <w:rFonts w:cs="Times New Roman"/>
        </w:rPr>
        <w:t>Individuals with disabilities and r</w:t>
      </w:r>
      <w:r w:rsidRPr="00785A17">
        <w:rPr>
          <w:rFonts w:cs="Times New Roman"/>
        </w:rPr>
        <w:t xml:space="preserve">epresentatives of organizations representing people with disabilities </w:t>
      </w:r>
      <w:r>
        <w:rPr>
          <w:rFonts w:cs="Times New Roman"/>
        </w:rPr>
        <w:t xml:space="preserve">were invited to </w:t>
      </w:r>
      <w:r w:rsidRPr="00C32047">
        <w:rPr>
          <w:rFonts w:cs="Times New Roman"/>
        </w:rPr>
        <w:t xml:space="preserve">electronically </w:t>
      </w:r>
      <w:r>
        <w:rPr>
          <w:rFonts w:cs="Times New Roman"/>
        </w:rPr>
        <w:t>submit observations</w:t>
      </w:r>
      <w:r w:rsidRPr="00E23F3C">
        <w:rPr>
          <w:rFonts w:cs="Times New Roman"/>
        </w:rPr>
        <w:t xml:space="preserve"> in </w:t>
      </w:r>
      <w:r>
        <w:rPr>
          <w:rFonts w:cs="Times New Roman"/>
        </w:rPr>
        <w:t>PSHSB</w:t>
      </w:r>
      <w:r w:rsidRPr="00D55BAA">
        <w:rPr>
          <w:rFonts w:cs="Times New Roman"/>
        </w:rPr>
        <w:t xml:space="preserve">’s </w:t>
      </w:r>
      <w:r w:rsidR="00310A78">
        <w:rPr>
          <w:rFonts w:cs="Times New Roman"/>
          <w:kern w:val="0"/>
        </w:rPr>
        <w:t>P</w:t>
      </w:r>
      <w:r w:rsidR="00257BC1">
        <w:rPr>
          <w:rFonts w:cs="Times New Roman"/>
          <w:kern w:val="0"/>
        </w:rPr>
        <w:t xml:space="preserve">ublic </w:t>
      </w:r>
      <w:r w:rsidR="00310A78">
        <w:rPr>
          <w:rFonts w:cs="Times New Roman"/>
          <w:kern w:val="0"/>
        </w:rPr>
        <w:t>S</w:t>
      </w:r>
      <w:r w:rsidR="00257BC1">
        <w:rPr>
          <w:rFonts w:cs="Times New Roman"/>
          <w:kern w:val="0"/>
        </w:rPr>
        <w:t xml:space="preserve">afety </w:t>
      </w:r>
      <w:r w:rsidR="00310A78">
        <w:rPr>
          <w:rFonts w:cs="Times New Roman"/>
          <w:kern w:val="0"/>
        </w:rPr>
        <w:t>S</w:t>
      </w:r>
      <w:r w:rsidR="00940CD3">
        <w:rPr>
          <w:rFonts w:cs="Times New Roman"/>
          <w:kern w:val="0"/>
        </w:rPr>
        <w:t>upport</w:t>
      </w:r>
      <w:r w:rsidR="00257BC1">
        <w:rPr>
          <w:rFonts w:cs="Times New Roman"/>
          <w:kern w:val="0"/>
        </w:rPr>
        <w:t xml:space="preserve"> </w:t>
      </w:r>
      <w:r w:rsidR="00310A78">
        <w:rPr>
          <w:rFonts w:cs="Times New Roman"/>
          <w:kern w:val="0"/>
        </w:rPr>
        <w:t>C</w:t>
      </w:r>
      <w:r w:rsidR="00257BC1">
        <w:rPr>
          <w:rFonts w:cs="Times New Roman"/>
          <w:kern w:val="0"/>
        </w:rPr>
        <w:t>enter</w:t>
      </w:r>
      <w:r w:rsidRPr="00D965C4">
        <w:rPr>
          <w:rFonts w:cs="Times New Roman"/>
          <w:kern w:val="0"/>
        </w:rPr>
        <w:t xml:space="preserve"> </w:t>
      </w:r>
      <w:r>
        <w:rPr>
          <w:rFonts w:cs="Times New Roman"/>
          <w:kern w:val="0"/>
        </w:rPr>
        <w:t>portal regarding complications with accessible WEA alerts</w:t>
      </w:r>
      <w:r w:rsidRPr="00D034E5">
        <w:rPr>
          <w:rFonts w:cs="Times New Roman"/>
          <w:kern w:val="0"/>
        </w:rPr>
        <w:t>.</w:t>
      </w:r>
      <w:r>
        <w:rPr>
          <w:rFonts w:cs="Times New Roman"/>
          <w:kern w:val="0"/>
        </w:rPr>
        <w:t xml:space="preserve">  </w:t>
      </w:r>
      <w:r>
        <w:rPr>
          <w:rFonts w:cs="Times New Roman"/>
          <w:kern w:val="0"/>
        </w:rPr>
        <w:t xml:space="preserve">Informal feedback was also obtained from input directly emailed to the Commission.  </w:t>
      </w:r>
      <w:r w:rsidRPr="00383AAA">
        <w:rPr>
          <w:rFonts w:cs="Times New Roman"/>
          <w:kern w:val="0"/>
        </w:rPr>
        <w:t>The feedback received about the WEA test identified several accessibility issues</w:t>
      </w:r>
      <w:r w:rsidR="0044477B">
        <w:rPr>
          <w:rFonts w:cs="Times New Roman"/>
          <w:kern w:val="0"/>
        </w:rPr>
        <w:t>,</w:t>
      </w:r>
      <w:r w:rsidRPr="00383AAA">
        <w:rPr>
          <w:rFonts w:cs="Times New Roman"/>
          <w:kern w:val="0"/>
        </w:rPr>
        <w:t xml:space="preserve"> indicat</w:t>
      </w:r>
      <w:r w:rsidR="0044477B">
        <w:rPr>
          <w:rFonts w:cs="Times New Roman"/>
          <w:kern w:val="0"/>
        </w:rPr>
        <w:t>ing</w:t>
      </w:r>
      <w:r w:rsidRPr="00383AAA">
        <w:rPr>
          <w:rFonts w:cs="Times New Roman"/>
          <w:kern w:val="0"/>
        </w:rPr>
        <w:t xml:space="preserve"> that accessibility may have been compromised due to the lack of the required vibration or audio attention signals.</w:t>
      </w:r>
      <w:r>
        <w:rPr>
          <w:rFonts w:cs="Times New Roman"/>
          <w:kern w:val="0"/>
          <w:vertAlign w:val="superscript"/>
        </w:rPr>
        <w:footnoteReference w:id="85"/>
      </w:r>
    </w:p>
    <w:p w:rsidR="00295D2D" w:rsidRPr="00295D2D" w:rsidP="00A0777D" w14:paraId="14105639" w14:textId="77777777">
      <w:pPr>
        <w:pStyle w:val="Heading2"/>
      </w:pPr>
      <w:bookmarkStart w:id="350" w:name="_Toc5614045"/>
      <w:r>
        <w:t>The Nationwide EAS Test</w:t>
      </w:r>
      <w:bookmarkEnd w:id="350"/>
    </w:p>
    <w:p w:rsidR="00343A2C" w:rsidRPr="00611C1A" w:rsidP="001D3751" w14:paraId="51C888EB" w14:textId="62718805">
      <w:pPr>
        <w:pStyle w:val="ParaNum"/>
        <w:numPr>
          <w:ilvl w:val="0"/>
          <w:numId w:val="0"/>
        </w:numPr>
        <w:spacing w:before="120" w:after="0"/>
        <w:rPr>
          <w:rFonts w:cs="Times New Roman"/>
        </w:rPr>
      </w:pPr>
      <w:r>
        <w:rPr>
          <w:rFonts w:cs="Times New Roman"/>
        </w:rPr>
        <w:t>T</w:t>
      </w:r>
      <w:r w:rsidRPr="00E23F3C">
        <w:rPr>
          <w:rFonts w:cs="Times New Roman"/>
        </w:rPr>
        <w:t xml:space="preserve">est participants reported complications with the test that included equipment configuration issues, equipment failures, failure to update equipment software, audio quality issues, </w:t>
      </w:r>
      <w:r w:rsidR="002838A2">
        <w:rPr>
          <w:rFonts w:cs="Times New Roman"/>
        </w:rPr>
        <w:t xml:space="preserve">alerting </w:t>
      </w:r>
      <w:r w:rsidRPr="00E23F3C">
        <w:rPr>
          <w:rFonts w:cs="Times New Roman"/>
        </w:rPr>
        <w:t xml:space="preserve">source issues, </w:t>
      </w:r>
      <w:r w:rsidRPr="00DF7C10" w:rsidR="000D4891">
        <w:rPr>
          <w:rFonts w:cs="Times New Roman"/>
        </w:rPr>
        <w:t xml:space="preserve">and </w:t>
      </w:r>
      <w:r w:rsidRPr="00D55BAA">
        <w:rPr>
          <w:rFonts w:cs="Times New Roman"/>
        </w:rPr>
        <w:t xml:space="preserve">clock errors.  </w:t>
      </w:r>
      <w:r>
        <w:rPr>
          <w:rFonts w:cs="Times New Roman"/>
        </w:rPr>
        <w:t>As in 2016</w:t>
      </w:r>
      <w:r w:rsidR="00DA7F69">
        <w:rPr>
          <w:rFonts w:cs="Times New Roman"/>
        </w:rPr>
        <w:t xml:space="preserve"> and 2017</w:t>
      </w:r>
      <w:r>
        <w:rPr>
          <w:rFonts w:cs="Times New Roman"/>
        </w:rPr>
        <w:t xml:space="preserve">, </w:t>
      </w:r>
      <w:r w:rsidRPr="00D55BAA">
        <w:rPr>
          <w:rFonts w:cs="Times New Roman"/>
        </w:rPr>
        <w:t xml:space="preserve">EAS Participants reported the </w:t>
      </w:r>
      <w:r w:rsidRPr="00D965C4">
        <w:rPr>
          <w:rFonts w:cs="Times New Roman"/>
        </w:rPr>
        <w:t>complications they experienced in two ways.  First, ETRS Form Three provided a series of checkboxes that allowed EAS Participants to assign categories to the issues they experienced.  These categories were based on the complications observed during the 201</w:t>
      </w:r>
      <w:r w:rsidR="009D39AB">
        <w:rPr>
          <w:rFonts w:cs="Times New Roman"/>
        </w:rPr>
        <w:t>7</w:t>
      </w:r>
      <w:r w:rsidRPr="00C01B45" w:rsidR="001272A5">
        <w:rPr>
          <w:rFonts w:cs="Times New Roman"/>
        </w:rPr>
        <w:t xml:space="preserve"> </w:t>
      </w:r>
      <w:r w:rsidR="007500C6">
        <w:rPr>
          <w:rFonts w:cs="Times New Roman"/>
        </w:rPr>
        <w:t>n</w:t>
      </w:r>
      <w:r w:rsidRPr="00FE30CC">
        <w:rPr>
          <w:rFonts w:cs="Times New Roman"/>
        </w:rPr>
        <w:t xml:space="preserve">ationwide EAS </w:t>
      </w:r>
      <w:r w:rsidR="007500C6">
        <w:rPr>
          <w:rFonts w:cs="Times New Roman"/>
        </w:rPr>
        <w:t>t</w:t>
      </w:r>
      <w:r w:rsidRPr="00FE30CC">
        <w:rPr>
          <w:rFonts w:cs="Times New Roman"/>
        </w:rPr>
        <w:t xml:space="preserve">est, which included audio quality issues, equipment performance issues, </w:t>
      </w:r>
      <w:r w:rsidR="009D39AB">
        <w:rPr>
          <w:rFonts w:cs="Times New Roman"/>
        </w:rPr>
        <w:t xml:space="preserve">software update issues, </w:t>
      </w:r>
      <w:r w:rsidRPr="00FE30CC">
        <w:rPr>
          <w:rFonts w:cs="Times New Roman"/>
        </w:rPr>
        <w:t xml:space="preserve">and user error.  </w:t>
      </w:r>
    </w:p>
    <w:p w:rsidR="00343A2C" w:rsidP="001D3751" w14:paraId="153992C3" w14:textId="67E5B2E4">
      <w:pPr>
        <w:pStyle w:val="ParaNum"/>
        <w:numPr>
          <w:ilvl w:val="0"/>
          <w:numId w:val="0"/>
        </w:numPr>
        <w:spacing w:before="120" w:after="0"/>
        <w:rPr>
          <w:rFonts w:cs="Times New Roman"/>
        </w:rPr>
      </w:pPr>
      <w:r w:rsidRPr="001D3751">
        <w:rPr>
          <w:rFonts w:cs="Times New Roman"/>
          <w:b/>
        </w:rPr>
        <w:t>Table 1</w:t>
      </w:r>
      <w:r w:rsidR="00521FA1">
        <w:rPr>
          <w:rFonts w:cs="Times New Roman"/>
          <w:b/>
        </w:rPr>
        <w:t>1</w:t>
      </w:r>
      <w:r w:rsidRPr="003F7CA1">
        <w:rPr>
          <w:rFonts w:cs="Times New Roman"/>
        </w:rPr>
        <w:t xml:space="preserve"> shows the categories of complications reported by test participants</w:t>
      </w:r>
      <w:r w:rsidRPr="0055001B">
        <w:rPr>
          <w:rFonts w:cs="Times New Roman"/>
        </w:rPr>
        <w:t xml:space="preserve">.  </w:t>
      </w:r>
      <w:r w:rsidR="00882CD7">
        <w:rPr>
          <w:rFonts w:cs="Times New Roman"/>
        </w:rPr>
        <w:t xml:space="preserve">This year, filers were asked to report </w:t>
      </w:r>
      <w:r w:rsidR="00CC089F">
        <w:rPr>
          <w:rFonts w:cs="Times New Roman"/>
        </w:rPr>
        <w:t>whether they experience</w:t>
      </w:r>
      <w:r w:rsidR="002838A2">
        <w:rPr>
          <w:rFonts w:cs="Times New Roman"/>
        </w:rPr>
        <w:t>d</w:t>
      </w:r>
      <w:r w:rsidR="00CC089F">
        <w:rPr>
          <w:rFonts w:cs="Times New Roman"/>
        </w:rPr>
        <w:t xml:space="preserve"> complications during receipt or retransmission in additional categories:  software out-of-date, equipment configuration issues, and equipment failure.  </w:t>
      </w:r>
      <w:r w:rsidR="00D87A25">
        <w:rPr>
          <w:rFonts w:cs="Times New Roman"/>
        </w:rPr>
        <w:t>9</w:t>
      </w:r>
      <w:r w:rsidR="00703FE6">
        <w:rPr>
          <w:rFonts w:cs="Times New Roman"/>
        </w:rPr>
        <w:t>7</w:t>
      </w:r>
      <w:r w:rsidR="00536837">
        <w:rPr>
          <w:rFonts w:cs="Times New Roman"/>
        </w:rPr>
        <w:t>.</w:t>
      </w:r>
      <w:r w:rsidR="00D87A25">
        <w:rPr>
          <w:rFonts w:cs="Times New Roman"/>
        </w:rPr>
        <w:t>4</w:t>
      </w:r>
      <w:r w:rsidRPr="0055001B" w:rsidR="00805018">
        <w:rPr>
          <w:rFonts w:cs="Times New Roman"/>
        </w:rPr>
        <w:t>%</w:t>
      </w:r>
      <w:r w:rsidRPr="0055001B">
        <w:rPr>
          <w:rFonts w:cs="Times New Roman"/>
        </w:rPr>
        <w:t xml:space="preserve"> of filers reported no complicatio</w:t>
      </w:r>
      <w:r w:rsidRPr="0090026E">
        <w:rPr>
          <w:rFonts w:cs="Times New Roman"/>
        </w:rPr>
        <w:t>ns</w:t>
      </w:r>
      <w:r w:rsidRPr="00E9423D" w:rsidR="000D6C77">
        <w:rPr>
          <w:rFonts w:cs="Times New Roman"/>
        </w:rPr>
        <w:t xml:space="preserve"> </w:t>
      </w:r>
      <w:r w:rsidR="00536837">
        <w:rPr>
          <w:rFonts w:cs="Times New Roman"/>
        </w:rPr>
        <w:t xml:space="preserve">in retransmission </w:t>
      </w:r>
      <w:r w:rsidRPr="00E9423D" w:rsidR="000D6C77">
        <w:rPr>
          <w:rFonts w:cs="Times New Roman"/>
        </w:rPr>
        <w:t>(</w:t>
      </w:r>
      <w:r w:rsidR="00D87A25">
        <w:rPr>
          <w:rFonts w:cs="Times New Roman"/>
        </w:rPr>
        <w:t>up</w:t>
      </w:r>
      <w:r w:rsidRPr="00E9423D" w:rsidR="000D6C77">
        <w:rPr>
          <w:rFonts w:cs="Times New Roman"/>
        </w:rPr>
        <w:t xml:space="preserve"> from 8</w:t>
      </w:r>
      <w:r w:rsidR="00882CD7">
        <w:rPr>
          <w:rFonts w:cs="Times New Roman"/>
        </w:rPr>
        <w:t>8</w:t>
      </w:r>
      <w:r w:rsidRPr="00E9423D" w:rsidR="000D6C77">
        <w:rPr>
          <w:rFonts w:cs="Times New Roman"/>
        </w:rPr>
        <w:t>.</w:t>
      </w:r>
      <w:r w:rsidR="00882CD7">
        <w:rPr>
          <w:rFonts w:cs="Times New Roman"/>
        </w:rPr>
        <w:t>3</w:t>
      </w:r>
      <w:r w:rsidRPr="00E9423D" w:rsidR="00805018">
        <w:rPr>
          <w:rFonts w:cs="Times New Roman"/>
        </w:rPr>
        <w:t>%</w:t>
      </w:r>
      <w:r w:rsidR="001A79FF">
        <w:rPr>
          <w:rFonts w:cs="Times New Roman"/>
        </w:rPr>
        <w:t xml:space="preserve"> in 201</w:t>
      </w:r>
      <w:r w:rsidR="00882CD7">
        <w:rPr>
          <w:rFonts w:cs="Times New Roman"/>
        </w:rPr>
        <w:t>7</w:t>
      </w:r>
      <w:r w:rsidRPr="00E9423D" w:rsidR="001272A5">
        <w:rPr>
          <w:rFonts w:cs="Times New Roman"/>
        </w:rPr>
        <w:t>)</w:t>
      </w:r>
      <w:r w:rsidRPr="00E9423D">
        <w:rPr>
          <w:rFonts w:cs="Times New Roman"/>
        </w:rPr>
        <w:t xml:space="preserve">.  </w:t>
      </w:r>
      <w:r w:rsidR="00882CD7">
        <w:rPr>
          <w:rFonts w:cs="Times New Roman"/>
        </w:rPr>
        <w:t>1.</w:t>
      </w:r>
      <w:r w:rsidR="00D87A25">
        <w:rPr>
          <w:rFonts w:cs="Times New Roman"/>
        </w:rPr>
        <w:t>6</w:t>
      </w:r>
      <w:r w:rsidRPr="00E9423D" w:rsidR="008B73E4">
        <w:rPr>
          <w:rFonts w:cs="Times New Roman"/>
        </w:rPr>
        <w:t>%</w:t>
      </w:r>
      <w:r w:rsidRPr="00E9423D" w:rsidR="000D6C77">
        <w:rPr>
          <w:rFonts w:cs="Times New Roman"/>
        </w:rPr>
        <w:t xml:space="preserve"> </w:t>
      </w:r>
      <w:r w:rsidRPr="00145C9C">
        <w:rPr>
          <w:rFonts w:cs="Times New Roman"/>
        </w:rPr>
        <w:t xml:space="preserve">of filers reported experiencing audio quality issues, which is </w:t>
      </w:r>
      <w:r w:rsidRPr="00164ED5" w:rsidR="002E5244">
        <w:rPr>
          <w:rFonts w:cs="Times New Roman"/>
        </w:rPr>
        <w:t xml:space="preserve">a </w:t>
      </w:r>
      <w:r w:rsidR="00882CD7">
        <w:rPr>
          <w:rFonts w:cs="Times New Roman"/>
        </w:rPr>
        <w:t>decrease</w:t>
      </w:r>
      <w:r w:rsidRPr="0090026E">
        <w:rPr>
          <w:rFonts w:cs="Times New Roman"/>
        </w:rPr>
        <w:t xml:space="preserve"> from the </w:t>
      </w:r>
      <w:r w:rsidR="00882CD7">
        <w:rPr>
          <w:rFonts w:cs="Times New Roman"/>
        </w:rPr>
        <w:t>4</w:t>
      </w:r>
      <w:r w:rsidRPr="00B872A8" w:rsidR="00805018">
        <w:rPr>
          <w:rFonts w:cs="Times New Roman"/>
        </w:rPr>
        <w:t>%</w:t>
      </w:r>
      <w:r w:rsidRPr="00A24D11">
        <w:rPr>
          <w:rFonts w:cs="Times New Roman"/>
        </w:rPr>
        <w:t xml:space="preserve"> </w:t>
      </w:r>
      <w:r w:rsidR="002838A2">
        <w:rPr>
          <w:rFonts w:cs="Times New Roman"/>
        </w:rPr>
        <w:t xml:space="preserve">of </w:t>
      </w:r>
      <w:r w:rsidRPr="00A24D11">
        <w:rPr>
          <w:rFonts w:cs="Times New Roman"/>
        </w:rPr>
        <w:t xml:space="preserve">test participants that </w:t>
      </w:r>
      <w:r w:rsidRPr="008679CF" w:rsidR="002E5244">
        <w:rPr>
          <w:rFonts w:cs="Times New Roman"/>
        </w:rPr>
        <w:t xml:space="preserve">reported audio quality issues </w:t>
      </w:r>
      <w:r w:rsidRPr="008679CF">
        <w:rPr>
          <w:rFonts w:cs="Times New Roman"/>
        </w:rPr>
        <w:t>in 201</w:t>
      </w:r>
      <w:r w:rsidR="00882CD7">
        <w:rPr>
          <w:rFonts w:cs="Times New Roman"/>
        </w:rPr>
        <w:t>7</w:t>
      </w:r>
      <w:r w:rsidRPr="008679CF">
        <w:rPr>
          <w:rFonts w:cs="Times New Roman"/>
        </w:rPr>
        <w:t>.</w:t>
      </w:r>
      <w:r>
        <w:rPr>
          <w:rStyle w:val="FootnoteReference"/>
        </w:rPr>
        <w:footnoteReference w:id="86"/>
      </w:r>
      <w:r w:rsidRPr="00785A17">
        <w:rPr>
          <w:rFonts w:cs="Times New Roman"/>
        </w:rPr>
        <w:t xml:space="preserve"> </w:t>
      </w:r>
      <w:r w:rsidR="00CC089F">
        <w:rPr>
          <w:rFonts w:cs="Times New Roman"/>
        </w:rPr>
        <w:t xml:space="preserve"> 0.</w:t>
      </w:r>
      <w:r w:rsidR="00D87A25">
        <w:rPr>
          <w:rFonts w:cs="Times New Roman"/>
        </w:rPr>
        <w:t>5</w:t>
      </w:r>
      <w:r w:rsidR="00CC089F">
        <w:rPr>
          <w:rFonts w:cs="Times New Roman"/>
        </w:rPr>
        <w:t>% of filers reported that their software was out-of-date, which caused complications upon receipt of the alert.</w:t>
      </w:r>
    </w:p>
    <w:p w:rsidR="00521FA1" w:rsidRPr="00C32047" w:rsidP="00521FA1" w14:paraId="38B17894" w14:textId="77777777">
      <w:pPr>
        <w:pStyle w:val="ParaNum"/>
        <w:numPr>
          <w:ilvl w:val="0"/>
          <w:numId w:val="0"/>
        </w:numPr>
        <w:spacing w:before="120" w:after="0"/>
        <w:contextualSpacing/>
        <w:rPr>
          <w:rFonts w:cs="Times New Roman"/>
        </w:rPr>
      </w:pPr>
    </w:p>
    <w:p w:rsidR="00343A2C" w:rsidRPr="00785A17" w:rsidP="00343A2C" w14:paraId="5CC01230" w14:textId="23E003B7">
      <w:pPr>
        <w:pStyle w:val="ParaNum"/>
        <w:keepNext/>
        <w:keepLines/>
        <w:numPr>
          <w:ilvl w:val="0"/>
          <w:numId w:val="0"/>
        </w:numPr>
        <w:rPr>
          <w:rFonts w:cs="Times New Roman"/>
          <w:b/>
        </w:rPr>
      </w:pPr>
      <w:bookmarkStart w:id="351" w:name="_Hlk2681153"/>
      <w:r w:rsidRPr="24E97C35">
        <w:rPr>
          <w:rFonts w:cs="Times New Roman"/>
          <w:b/>
        </w:rPr>
        <w:t>Table 1</w:t>
      </w:r>
      <w:r w:rsidR="00521FA1">
        <w:rPr>
          <w:rFonts w:cs="Times New Roman"/>
          <w:b/>
        </w:rPr>
        <w:t>1</w:t>
      </w:r>
      <w:r w:rsidRPr="24E97C35">
        <w:rPr>
          <w:rFonts w:cs="Times New Roman"/>
          <w:b/>
        </w:rPr>
        <w:t>. Complication</w:t>
      </w:r>
      <w:r w:rsidR="001A79FF">
        <w:rPr>
          <w:rFonts w:cs="Times New Roman"/>
          <w:b/>
        </w:rPr>
        <w:t xml:space="preserve">s </w:t>
      </w:r>
      <w:r w:rsidRPr="24E97C35">
        <w:rPr>
          <w:rFonts w:cs="Times New Roman"/>
          <w:b/>
        </w:rPr>
        <w:t>Experienced By Test Participants</w:t>
      </w:r>
    </w:p>
    <w:tbl>
      <w:tblPr>
        <w:tblW w:w="9360" w:type="dxa"/>
        <w:tblInd w:w="93" w:type="dxa"/>
        <w:tblLayout w:type="fixed"/>
        <w:tblLook w:val="0000"/>
      </w:tblPr>
      <w:tblGrid>
        <w:gridCol w:w="2290"/>
        <w:gridCol w:w="1467"/>
        <w:gridCol w:w="1334"/>
        <w:gridCol w:w="2268"/>
        <w:gridCol w:w="2001"/>
      </w:tblGrid>
      <w:tr w14:paraId="417FF318" w14:textId="77777777" w:rsidTr="00085542">
        <w:tblPrEx>
          <w:tblW w:w="9360" w:type="dxa"/>
          <w:tblInd w:w="93" w:type="dxa"/>
          <w:tblLayout w:type="fixed"/>
          <w:tblLook w:val="0000"/>
        </w:tblPrEx>
        <w:trPr>
          <w:trHeight w:val="467"/>
        </w:trPr>
        <w:tc>
          <w:tcPr>
            <w:tcW w:w="2290" w:type="dxa"/>
            <w:vMerge w:val="restart"/>
            <w:tcBorders>
              <w:top w:val="single" w:sz="4" w:space="0" w:color="auto"/>
              <w:left w:val="single" w:sz="4" w:space="0" w:color="auto"/>
              <w:right w:val="single" w:sz="4" w:space="0" w:color="auto"/>
            </w:tcBorders>
            <w:shd w:val="clear" w:color="auto" w:fill="C0C0C0"/>
            <w:noWrap/>
            <w:vAlign w:val="bottom"/>
          </w:tcPr>
          <w:p w:rsidR="00343A2C" w:rsidRPr="00085542" w:rsidP="00085542" w14:paraId="4F86A2FD" w14:textId="77777777">
            <w:pPr>
              <w:keepNext/>
              <w:keepLines/>
              <w:spacing w:after="120"/>
              <w:jc w:val="center"/>
              <w:rPr>
                <w:rFonts w:cs="Times New Roman"/>
                <w:b/>
                <w:color w:val="000000"/>
                <w:kern w:val="0"/>
              </w:rPr>
            </w:pPr>
            <w:r w:rsidRPr="255FCAE1">
              <w:rPr>
                <w:rFonts w:cs="Times New Roman"/>
                <w:b/>
                <w:color w:val="000000"/>
                <w:kern w:val="0"/>
              </w:rPr>
              <w:t>Complication</w:t>
            </w:r>
          </w:p>
        </w:tc>
        <w:tc>
          <w:tcPr>
            <w:tcW w:w="2801" w:type="dxa"/>
            <w:gridSpan w:val="2"/>
            <w:tcBorders>
              <w:top w:val="single" w:sz="4" w:space="0" w:color="auto"/>
              <w:left w:val="single" w:sz="4" w:space="0" w:color="auto"/>
              <w:right w:val="single" w:sz="4" w:space="0" w:color="auto"/>
            </w:tcBorders>
            <w:shd w:val="clear" w:color="auto" w:fill="C0C0C0"/>
            <w:vAlign w:val="bottom"/>
          </w:tcPr>
          <w:p w:rsidR="00343A2C" w:rsidRPr="00085542" w:rsidP="00085542" w14:paraId="7B279ECB" w14:textId="77777777">
            <w:pPr>
              <w:keepNext/>
              <w:keepLines/>
              <w:spacing w:after="120"/>
              <w:jc w:val="center"/>
              <w:rPr>
                <w:rFonts w:cs="Times New Roman"/>
                <w:b/>
                <w:color w:val="000000"/>
                <w:kern w:val="0"/>
              </w:rPr>
            </w:pPr>
            <w:r w:rsidRPr="255FCAE1">
              <w:rPr>
                <w:rFonts w:cs="Times New Roman"/>
                <w:b/>
                <w:color w:val="000000"/>
                <w:kern w:val="0"/>
              </w:rPr>
              <w:t>Experienced During Receipt</w:t>
            </w:r>
          </w:p>
        </w:tc>
        <w:tc>
          <w:tcPr>
            <w:tcW w:w="4269" w:type="dxa"/>
            <w:gridSpan w:val="2"/>
            <w:tcBorders>
              <w:top w:val="single" w:sz="4" w:space="0" w:color="auto"/>
              <w:left w:val="single" w:sz="4" w:space="0" w:color="auto"/>
              <w:right w:val="single" w:sz="4" w:space="0" w:color="auto"/>
            </w:tcBorders>
            <w:shd w:val="clear" w:color="auto" w:fill="C0C0C0"/>
            <w:vAlign w:val="bottom"/>
          </w:tcPr>
          <w:p w:rsidR="00343A2C" w:rsidRPr="00085542" w:rsidP="00085542" w14:paraId="3A03DE9D" w14:textId="77777777">
            <w:pPr>
              <w:keepNext/>
              <w:keepLines/>
              <w:spacing w:after="120"/>
              <w:jc w:val="center"/>
              <w:rPr>
                <w:rFonts w:cs="Times New Roman"/>
                <w:b/>
                <w:color w:val="000000"/>
                <w:kern w:val="0"/>
              </w:rPr>
            </w:pPr>
            <w:r w:rsidRPr="255FCAE1">
              <w:rPr>
                <w:rFonts w:cs="Times New Roman"/>
                <w:b/>
                <w:color w:val="000000"/>
                <w:kern w:val="0"/>
              </w:rPr>
              <w:t>Experienced During Retransmission</w:t>
            </w:r>
          </w:p>
        </w:tc>
      </w:tr>
      <w:tr w14:paraId="3BE38B58" w14:textId="77777777" w:rsidTr="00085542">
        <w:tblPrEx>
          <w:tblW w:w="9360" w:type="dxa"/>
          <w:tblInd w:w="93" w:type="dxa"/>
          <w:tblLayout w:type="fixed"/>
          <w:tblLook w:val="0000"/>
        </w:tblPrEx>
        <w:trPr>
          <w:trHeight w:val="170"/>
        </w:trPr>
        <w:tc>
          <w:tcPr>
            <w:tcW w:w="2290" w:type="dxa"/>
            <w:vMerge/>
            <w:tcBorders>
              <w:left w:val="single" w:sz="4" w:space="0" w:color="auto"/>
              <w:bottom w:val="single" w:sz="4" w:space="0" w:color="auto"/>
              <w:right w:val="single" w:sz="4" w:space="0" w:color="auto"/>
            </w:tcBorders>
            <w:shd w:val="clear" w:color="auto" w:fill="C0C0C0"/>
            <w:noWrap/>
            <w:vAlign w:val="bottom"/>
          </w:tcPr>
          <w:p w:rsidR="00343A2C" w:rsidRPr="00B57342" w:rsidP="009611A8" w14:paraId="649DB330" w14:textId="77777777">
            <w:pPr>
              <w:keepNext/>
              <w:keepLines/>
              <w:spacing w:after="120"/>
              <w:jc w:val="center"/>
              <w:rPr>
                <w:rFonts w:cs="Times New Roman"/>
                <w:b/>
                <w:color w:val="000000"/>
                <w:kern w:val="0"/>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C0C0C0"/>
            <w:vAlign w:val="bottom"/>
          </w:tcPr>
          <w:p w:rsidR="00343A2C" w:rsidRPr="00085542" w:rsidP="00085542" w14:paraId="10F01F9E" w14:textId="77777777">
            <w:pPr>
              <w:keepNext/>
              <w:keepLines/>
              <w:spacing w:after="120"/>
              <w:jc w:val="center"/>
              <w:rPr>
                <w:rFonts w:cs="Times New Roman"/>
                <w:b/>
                <w:color w:val="000000"/>
                <w:kern w:val="0"/>
              </w:rPr>
            </w:pPr>
            <w:r w:rsidRPr="255FCAE1">
              <w:rPr>
                <w:rFonts w:cs="Times New Roman"/>
                <w:b/>
                <w:color w:val="000000"/>
                <w:kern w:val="0"/>
              </w:rPr>
              <w:t>#</w:t>
            </w:r>
          </w:p>
        </w:tc>
        <w:tc>
          <w:tcPr>
            <w:tcW w:w="1334" w:type="dxa"/>
            <w:tcBorders>
              <w:top w:val="single" w:sz="4" w:space="0" w:color="auto"/>
              <w:left w:val="single" w:sz="4" w:space="0" w:color="auto"/>
              <w:bottom w:val="single" w:sz="4" w:space="0" w:color="auto"/>
              <w:right w:val="single" w:sz="4" w:space="0" w:color="auto"/>
            </w:tcBorders>
            <w:shd w:val="clear" w:color="auto" w:fill="C0C0C0"/>
            <w:vAlign w:val="bottom"/>
          </w:tcPr>
          <w:p w:rsidR="00343A2C" w:rsidRPr="00085542" w:rsidP="00085542" w14:paraId="66F9A871" w14:textId="77777777">
            <w:pPr>
              <w:keepNext/>
              <w:keepLines/>
              <w:spacing w:after="120"/>
              <w:jc w:val="center"/>
              <w:rPr>
                <w:rFonts w:cs="Times New Roman"/>
                <w:b/>
                <w:color w:val="000000"/>
                <w:kern w:val="0"/>
              </w:rPr>
            </w:pPr>
            <w:r w:rsidRPr="255FCAE1">
              <w:rPr>
                <w:rFonts w:cs="Times New Roman"/>
                <w:b/>
                <w:color w:val="000000"/>
                <w:kern w:val="0"/>
              </w:rPr>
              <w:t>%</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bottom"/>
          </w:tcPr>
          <w:p w:rsidR="00343A2C" w:rsidRPr="00085542" w:rsidP="00085542" w14:paraId="12BFF229" w14:textId="77777777">
            <w:pPr>
              <w:keepNext/>
              <w:keepLines/>
              <w:spacing w:after="120"/>
              <w:jc w:val="center"/>
              <w:rPr>
                <w:rFonts w:cs="Times New Roman"/>
                <w:b/>
                <w:color w:val="000000"/>
                <w:kern w:val="0"/>
              </w:rPr>
            </w:pPr>
            <w:r w:rsidRPr="255FCAE1">
              <w:rPr>
                <w:rFonts w:cs="Times New Roman"/>
                <w:b/>
                <w:color w:val="000000"/>
                <w:kern w:val="0"/>
              </w:rPr>
              <w:t>#</w:t>
            </w:r>
          </w:p>
        </w:tc>
        <w:tc>
          <w:tcPr>
            <w:tcW w:w="2001" w:type="dxa"/>
            <w:tcBorders>
              <w:top w:val="single" w:sz="4" w:space="0" w:color="auto"/>
              <w:left w:val="single" w:sz="4" w:space="0" w:color="auto"/>
              <w:bottom w:val="single" w:sz="4" w:space="0" w:color="auto"/>
              <w:right w:val="single" w:sz="4" w:space="0" w:color="auto"/>
            </w:tcBorders>
            <w:shd w:val="clear" w:color="auto" w:fill="C0C0C0"/>
            <w:vAlign w:val="bottom"/>
          </w:tcPr>
          <w:p w:rsidR="00343A2C" w:rsidRPr="00085542" w:rsidP="00085542" w14:paraId="68B9D314" w14:textId="77777777">
            <w:pPr>
              <w:keepNext/>
              <w:keepLines/>
              <w:spacing w:after="120"/>
              <w:jc w:val="center"/>
              <w:rPr>
                <w:rFonts w:cs="Times New Roman"/>
                <w:b/>
                <w:color w:val="000000"/>
                <w:kern w:val="0"/>
              </w:rPr>
            </w:pPr>
            <w:r w:rsidRPr="255FCAE1">
              <w:rPr>
                <w:rFonts w:cs="Times New Roman"/>
                <w:b/>
                <w:color w:val="000000"/>
                <w:kern w:val="0"/>
              </w:rPr>
              <w:t>%</w:t>
            </w:r>
          </w:p>
        </w:tc>
      </w:tr>
      <w:tr w14:paraId="0D50120E" w14:textId="77777777" w:rsidTr="00085542">
        <w:tblPrEx>
          <w:tblW w:w="9360" w:type="dxa"/>
          <w:tblInd w:w="93" w:type="dxa"/>
          <w:tblLayout w:type="fixed"/>
          <w:tblLook w:val="0000"/>
        </w:tblPrEx>
        <w:trPr>
          <w:trHeight w:val="253"/>
        </w:trPr>
        <w:tc>
          <w:tcPr>
            <w:tcW w:w="2290" w:type="dxa"/>
            <w:tcBorders>
              <w:top w:val="single" w:sz="4" w:space="0" w:color="auto"/>
              <w:left w:val="single" w:sz="4" w:space="0" w:color="auto"/>
              <w:bottom w:val="single" w:sz="4" w:space="0" w:color="auto"/>
              <w:right w:val="single" w:sz="4" w:space="0" w:color="auto"/>
            </w:tcBorders>
            <w:vAlign w:val="bottom"/>
          </w:tcPr>
          <w:p w:rsidR="00343A2C" w:rsidRPr="00771DD9" w:rsidP="009611A8" w14:paraId="23658A15" w14:textId="77777777">
            <w:pPr>
              <w:keepNext/>
              <w:keepLines/>
              <w:spacing w:after="120"/>
              <w:jc w:val="right"/>
              <w:rPr>
                <w:rFonts w:cs="Times New Roman"/>
                <w:color w:val="000000"/>
                <w:kern w:val="0"/>
              </w:rPr>
            </w:pPr>
            <w:r w:rsidRPr="00771DD9">
              <w:rPr>
                <w:rFonts w:cs="Times New Roman"/>
                <w:color w:val="000000"/>
                <w:kern w:val="0"/>
              </w:rPr>
              <w:t>No Complications</w:t>
            </w:r>
          </w:p>
        </w:tc>
        <w:tc>
          <w:tcPr>
            <w:tcW w:w="1467" w:type="dxa"/>
            <w:tcBorders>
              <w:top w:val="single" w:sz="4" w:space="0" w:color="auto"/>
              <w:left w:val="single" w:sz="4" w:space="0" w:color="auto"/>
              <w:bottom w:val="single" w:sz="4" w:space="0" w:color="auto"/>
              <w:right w:val="single" w:sz="4" w:space="0" w:color="auto"/>
            </w:tcBorders>
            <w:vAlign w:val="bottom"/>
          </w:tcPr>
          <w:p w:rsidR="00343A2C" w:rsidRPr="00771DD9" w:rsidP="009611A8" w14:paraId="096F1CAD" w14:textId="77777777">
            <w:pPr>
              <w:keepNext/>
              <w:keepLines/>
              <w:spacing w:after="120"/>
              <w:jc w:val="center"/>
              <w:rPr>
                <w:rFonts w:cs="Times New Roman"/>
                <w:color w:val="000000"/>
                <w:kern w:val="0"/>
              </w:rPr>
            </w:pPr>
            <w:r w:rsidRPr="00771DD9">
              <w:rPr>
                <w:rFonts w:cs="Times New Roman"/>
                <w:color w:val="000000"/>
                <w:kern w:val="0"/>
              </w:rPr>
              <w:t>15</w:t>
            </w:r>
            <w:r w:rsidRPr="00771DD9" w:rsidR="00DC695A">
              <w:rPr>
                <w:rFonts w:cs="Times New Roman"/>
                <w:color w:val="000000"/>
                <w:kern w:val="0"/>
              </w:rPr>
              <w:t>91</w:t>
            </w:r>
            <w:r w:rsidR="00D147F2">
              <w:rPr>
                <w:rFonts w:cs="Times New Roman"/>
                <w:color w:val="000000"/>
                <w:kern w:val="0"/>
              </w:rPr>
              <w:t>5</w:t>
            </w:r>
          </w:p>
        </w:tc>
        <w:tc>
          <w:tcPr>
            <w:tcW w:w="1334" w:type="dxa"/>
            <w:tcBorders>
              <w:top w:val="single" w:sz="4" w:space="0" w:color="auto"/>
              <w:left w:val="single" w:sz="4" w:space="0" w:color="auto"/>
              <w:bottom w:val="single" w:sz="4" w:space="0" w:color="auto"/>
              <w:right w:val="single" w:sz="4" w:space="0" w:color="auto"/>
            </w:tcBorders>
            <w:vAlign w:val="bottom"/>
          </w:tcPr>
          <w:p w:rsidR="00343A2C" w:rsidRPr="00771DD9" w:rsidP="009611A8" w14:paraId="06ABD28C" w14:textId="77777777">
            <w:pPr>
              <w:keepNext/>
              <w:keepLines/>
              <w:spacing w:after="120"/>
              <w:jc w:val="center"/>
              <w:rPr>
                <w:rFonts w:cs="Times New Roman"/>
                <w:color w:val="000000"/>
                <w:kern w:val="0"/>
              </w:rPr>
            </w:pPr>
            <w:r>
              <w:rPr>
                <w:rFonts w:cs="Times New Roman"/>
                <w:color w:val="000000"/>
                <w:kern w:val="0"/>
              </w:rPr>
              <w:t>95.1</w:t>
            </w:r>
            <w:r w:rsidRPr="00771DD9" w:rsidR="00033051">
              <w:rPr>
                <w:rFonts w:cs="Times New Roman"/>
                <w:color w:val="000000"/>
                <w:kern w:val="0"/>
              </w:rPr>
              <w:t>%</w:t>
            </w:r>
          </w:p>
        </w:tc>
        <w:tc>
          <w:tcPr>
            <w:tcW w:w="2268" w:type="dxa"/>
            <w:tcBorders>
              <w:top w:val="single" w:sz="4" w:space="0" w:color="auto"/>
              <w:left w:val="single" w:sz="4" w:space="0" w:color="auto"/>
              <w:bottom w:val="single" w:sz="4" w:space="0" w:color="auto"/>
              <w:right w:val="single" w:sz="4" w:space="0" w:color="auto"/>
            </w:tcBorders>
            <w:vAlign w:val="bottom"/>
          </w:tcPr>
          <w:p w:rsidR="00343A2C" w:rsidRPr="00771DD9" w:rsidP="009611A8" w14:paraId="08B8F318" w14:textId="77777777">
            <w:pPr>
              <w:keepNext/>
              <w:keepLines/>
              <w:spacing w:after="120"/>
              <w:jc w:val="center"/>
              <w:rPr>
                <w:rFonts w:cs="Times New Roman"/>
                <w:color w:val="000000"/>
                <w:kern w:val="0"/>
              </w:rPr>
            </w:pPr>
            <w:r w:rsidRPr="00771DD9">
              <w:rPr>
                <w:rFonts w:cs="Times New Roman"/>
                <w:color w:val="000000"/>
                <w:kern w:val="0"/>
              </w:rPr>
              <w:t>15</w:t>
            </w:r>
            <w:r w:rsidR="00D87A25">
              <w:rPr>
                <w:rFonts w:cs="Times New Roman"/>
                <w:color w:val="000000"/>
                <w:kern w:val="0"/>
              </w:rPr>
              <w:t>684</w:t>
            </w:r>
          </w:p>
        </w:tc>
        <w:tc>
          <w:tcPr>
            <w:tcW w:w="2001" w:type="dxa"/>
            <w:tcBorders>
              <w:top w:val="single" w:sz="4" w:space="0" w:color="auto"/>
              <w:left w:val="single" w:sz="4" w:space="0" w:color="auto"/>
              <w:bottom w:val="single" w:sz="4" w:space="0" w:color="auto"/>
              <w:right w:val="single" w:sz="4" w:space="0" w:color="auto"/>
            </w:tcBorders>
            <w:vAlign w:val="bottom"/>
          </w:tcPr>
          <w:p w:rsidR="00343A2C" w:rsidRPr="00771DD9" w:rsidP="009611A8" w14:paraId="3A5295F8" w14:textId="77777777">
            <w:pPr>
              <w:keepNext/>
              <w:keepLines/>
              <w:spacing w:after="120"/>
              <w:jc w:val="center"/>
              <w:rPr>
                <w:rFonts w:cs="Times New Roman"/>
                <w:color w:val="000000"/>
                <w:kern w:val="0"/>
              </w:rPr>
            </w:pPr>
            <w:r>
              <w:rPr>
                <w:rFonts w:cs="Times New Roman"/>
                <w:color w:val="000000"/>
                <w:kern w:val="0"/>
              </w:rPr>
              <w:t>97.4</w:t>
            </w:r>
            <w:r w:rsidRPr="00771DD9" w:rsidR="00033051">
              <w:rPr>
                <w:rFonts w:cs="Times New Roman"/>
                <w:color w:val="000000"/>
                <w:kern w:val="0"/>
              </w:rPr>
              <w:t>%</w:t>
            </w:r>
          </w:p>
        </w:tc>
      </w:tr>
      <w:tr w14:paraId="1266ACAA" w14:textId="77777777" w:rsidTr="00085542">
        <w:tblPrEx>
          <w:tblW w:w="9360" w:type="dxa"/>
          <w:tblInd w:w="93" w:type="dxa"/>
          <w:tblLayout w:type="fixed"/>
          <w:tblLook w:val="0000"/>
        </w:tblPrEx>
        <w:trPr>
          <w:trHeight w:val="253"/>
        </w:trPr>
        <w:tc>
          <w:tcPr>
            <w:tcW w:w="2290" w:type="dxa"/>
            <w:tcBorders>
              <w:top w:val="single" w:sz="4" w:space="0" w:color="auto"/>
              <w:left w:val="single" w:sz="4" w:space="0" w:color="auto"/>
              <w:bottom w:val="single" w:sz="4" w:space="0" w:color="auto"/>
              <w:right w:val="single" w:sz="4" w:space="0" w:color="auto"/>
            </w:tcBorders>
            <w:vAlign w:val="bottom"/>
          </w:tcPr>
          <w:p w:rsidR="00CC089F" w:rsidRPr="00771DD9" w:rsidP="00CC089F" w14:paraId="53D15716" w14:textId="77777777">
            <w:pPr>
              <w:keepNext/>
              <w:keepLines/>
              <w:spacing w:after="120"/>
              <w:jc w:val="right"/>
              <w:rPr>
                <w:rFonts w:cs="Times New Roman"/>
                <w:color w:val="000000"/>
                <w:kern w:val="0"/>
              </w:rPr>
            </w:pPr>
            <w:r w:rsidRPr="00771DD9">
              <w:rPr>
                <w:rFonts w:cs="Times New Roman"/>
                <w:color w:val="000000"/>
                <w:kern w:val="0"/>
              </w:rPr>
              <w:t>Audio Quality Issues</w:t>
            </w:r>
          </w:p>
        </w:tc>
        <w:tc>
          <w:tcPr>
            <w:tcW w:w="1467" w:type="dxa"/>
            <w:tcBorders>
              <w:top w:val="single" w:sz="4" w:space="0" w:color="auto"/>
              <w:left w:val="single" w:sz="4" w:space="0" w:color="auto"/>
              <w:bottom w:val="single" w:sz="4" w:space="0" w:color="auto"/>
              <w:right w:val="single" w:sz="4" w:space="0" w:color="auto"/>
            </w:tcBorders>
            <w:vAlign w:val="bottom"/>
          </w:tcPr>
          <w:p w:rsidR="00CC089F" w:rsidRPr="00771DD9" w:rsidP="00CC089F" w14:paraId="2106C315" w14:textId="77777777">
            <w:pPr>
              <w:keepNext/>
              <w:keepLines/>
              <w:spacing w:after="120"/>
              <w:jc w:val="center"/>
              <w:rPr>
                <w:rFonts w:cs="Times New Roman"/>
                <w:color w:val="000000"/>
                <w:kern w:val="0"/>
              </w:rPr>
            </w:pPr>
            <w:r w:rsidRPr="00771DD9">
              <w:rPr>
                <w:rFonts w:cs="Times New Roman"/>
                <w:color w:val="000000"/>
                <w:kern w:val="0"/>
              </w:rPr>
              <w:t>276</w:t>
            </w:r>
          </w:p>
        </w:tc>
        <w:tc>
          <w:tcPr>
            <w:tcW w:w="1334" w:type="dxa"/>
            <w:tcBorders>
              <w:top w:val="single" w:sz="4" w:space="0" w:color="auto"/>
              <w:left w:val="single" w:sz="4" w:space="0" w:color="auto"/>
              <w:bottom w:val="single" w:sz="4" w:space="0" w:color="auto"/>
              <w:right w:val="single" w:sz="4" w:space="0" w:color="auto"/>
            </w:tcBorders>
            <w:vAlign w:val="bottom"/>
          </w:tcPr>
          <w:p w:rsidR="00CC089F" w:rsidRPr="00771DD9" w:rsidP="00CC089F" w14:paraId="1B76B92C" w14:textId="77777777">
            <w:pPr>
              <w:keepNext/>
              <w:keepLines/>
              <w:spacing w:after="120"/>
              <w:jc w:val="center"/>
              <w:rPr>
                <w:rFonts w:cs="Times New Roman"/>
                <w:color w:val="000000"/>
                <w:kern w:val="0"/>
              </w:rPr>
            </w:pPr>
            <w:r w:rsidRPr="00771DD9">
              <w:rPr>
                <w:rFonts w:cs="Times New Roman"/>
                <w:color w:val="000000"/>
                <w:kern w:val="0"/>
              </w:rPr>
              <w:t>1.</w:t>
            </w:r>
            <w:r w:rsidR="00D87A25">
              <w:rPr>
                <w:rFonts w:cs="Times New Roman"/>
                <w:color w:val="000000"/>
                <w:kern w:val="0"/>
              </w:rPr>
              <w:t>6</w:t>
            </w:r>
            <w:r w:rsidRPr="00771DD9">
              <w:rPr>
                <w:rFonts w:cs="Times New Roman"/>
                <w:color w:val="000000"/>
                <w:kern w:val="0"/>
              </w:rPr>
              <w:t>%</w:t>
            </w:r>
          </w:p>
        </w:tc>
        <w:tc>
          <w:tcPr>
            <w:tcW w:w="2268" w:type="dxa"/>
            <w:tcBorders>
              <w:top w:val="single" w:sz="4" w:space="0" w:color="auto"/>
              <w:left w:val="single" w:sz="4" w:space="0" w:color="auto"/>
              <w:bottom w:val="single" w:sz="4" w:space="0" w:color="auto"/>
              <w:right w:val="single" w:sz="4" w:space="0" w:color="auto"/>
            </w:tcBorders>
            <w:vAlign w:val="bottom"/>
          </w:tcPr>
          <w:p w:rsidR="00CC089F" w:rsidRPr="00771DD9" w:rsidP="00CC089F" w14:paraId="34AA9DD5" w14:textId="77777777">
            <w:pPr>
              <w:keepNext/>
              <w:keepLines/>
              <w:spacing w:after="120"/>
              <w:jc w:val="center"/>
              <w:rPr>
                <w:rFonts w:cs="Times New Roman"/>
                <w:color w:val="000000"/>
                <w:kern w:val="0"/>
              </w:rPr>
            </w:pPr>
            <w:r w:rsidRPr="00771DD9">
              <w:rPr>
                <w:rFonts w:cs="Times New Roman"/>
                <w:color w:val="000000"/>
                <w:kern w:val="0"/>
              </w:rPr>
              <w:t>n/a</w:t>
            </w:r>
          </w:p>
        </w:tc>
        <w:tc>
          <w:tcPr>
            <w:tcW w:w="2001" w:type="dxa"/>
            <w:tcBorders>
              <w:top w:val="single" w:sz="4" w:space="0" w:color="auto"/>
              <w:left w:val="single" w:sz="4" w:space="0" w:color="auto"/>
              <w:bottom w:val="single" w:sz="4" w:space="0" w:color="auto"/>
              <w:right w:val="single" w:sz="4" w:space="0" w:color="auto"/>
            </w:tcBorders>
            <w:vAlign w:val="bottom"/>
          </w:tcPr>
          <w:p w:rsidR="00CC089F" w:rsidRPr="00771DD9" w:rsidP="00CC089F" w14:paraId="1075CDD9" w14:textId="77777777">
            <w:pPr>
              <w:keepNext/>
              <w:keepLines/>
              <w:spacing w:after="120"/>
              <w:jc w:val="center"/>
              <w:rPr>
                <w:rFonts w:cs="Times New Roman"/>
                <w:color w:val="000000"/>
                <w:kern w:val="0"/>
              </w:rPr>
            </w:pPr>
            <w:r w:rsidRPr="00771DD9">
              <w:rPr>
                <w:rFonts w:cs="Times New Roman"/>
                <w:color w:val="000000"/>
                <w:kern w:val="0"/>
              </w:rPr>
              <w:t>n/a</w:t>
            </w:r>
          </w:p>
        </w:tc>
      </w:tr>
      <w:tr w14:paraId="2AF1DF42" w14:textId="77777777" w:rsidTr="00085542">
        <w:tblPrEx>
          <w:tblW w:w="9360" w:type="dxa"/>
          <w:tblInd w:w="93" w:type="dxa"/>
          <w:tblLayout w:type="fixed"/>
          <w:tblLook w:val="0000"/>
        </w:tblPrEx>
        <w:trPr>
          <w:trHeight w:val="253"/>
        </w:trPr>
        <w:tc>
          <w:tcPr>
            <w:tcW w:w="2290"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07FABD65" w14:textId="77777777">
            <w:pPr>
              <w:keepNext/>
              <w:keepLines/>
              <w:spacing w:after="120"/>
              <w:jc w:val="right"/>
              <w:rPr>
                <w:rFonts w:cs="Times New Roman"/>
                <w:color w:val="000000"/>
                <w:kern w:val="0"/>
              </w:rPr>
            </w:pPr>
            <w:r w:rsidRPr="00771DD9">
              <w:rPr>
                <w:rFonts w:cs="Times New Roman"/>
                <w:color w:val="000000"/>
                <w:kern w:val="0"/>
              </w:rPr>
              <w:t xml:space="preserve">Equipment Configuration Issues </w:t>
            </w:r>
          </w:p>
        </w:tc>
        <w:tc>
          <w:tcPr>
            <w:tcW w:w="1467"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394071AE" w14:textId="77777777">
            <w:pPr>
              <w:keepNext/>
              <w:keepLines/>
              <w:spacing w:after="120"/>
              <w:jc w:val="center"/>
              <w:rPr>
                <w:rFonts w:cs="Times New Roman"/>
                <w:color w:val="000000"/>
                <w:kern w:val="0"/>
              </w:rPr>
            </w:pPr>
            <w:r w:rsidRPr="00771DD9">
              <w:rPr>
                <w:rFonts w:cs="Times New Roman"/>
                <w:color w:val="000000"/>
                <w:kern w:val="0"/>
              </w:rPr>
              <w:t>1</w:t>
            </w:r>
            <w:r w:rsidR="00D87A25">
              <w:rPr>
                <w:rFonts w:cs="Times New Roman"/>
                <w:color w:val="000000"/>
                <w:kern w:val="0"/>
              </w:rPr>
              <w:t>29</w:t>
            </w:r>
          </w:p>
        </w:tc>
        <w:tc>
          <w:tcPr>
            <w:tcW w:w="1334"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7855FD92" w14:textId="77777777">
            <w:pPr>
              <w:keepNext/>
              <w:keepLines/>
              <w:spacing w:after="120"/>
              <w:jc w:val="center"/>
              <w:rPr>
                <w:rFonts w:cs="Times New Roman"/>
                <w:color w:val="000000"/>
                <w:kern w:val="0"/>
              </w:rPr>
            </w:pPr>
            <w:r w:rsidRPr="00771DD9">
              <w:rPr>
                <w:rFonts w:cs="Times New Roman"/>
                <w:color w:val="000000"/>
                <w:kern w:val="0"/>
              </w:rPr>
              <w:t>0.</w:t>
            </w:r>
            <w:r w:rsidR="00D87A25">
              <w:rPr>
                <w:rFonts w:cs="Times New Roman"/>
                <w:color w:val="000000"/>
                <w:kern w:val="0"/>
              </w:rPr>
              <w:t>8</w:t>
            </w:r>
            <w:r w:rsidRPr="00771DD9">
              <w:rPr>
                <w:rFonts w:cs="Times New Roman"/>
                <w:color w:val="000000"/>
                <w:kern w:val="0"/>
              </w:rPr>
              <w:t>%</w:t>
            </w:r>
          </w:p>
        </w:tc>
        <w:tc>
          <w:tcPr>
            <w:tcW w:w="2268"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15EDB052" w14:textId="77777777">
            <w:pPr>
              <w:keepNext/>
              <w:keepLines/>
              <w:spacing w:after="120"/>
              <w:jc w:val="center"/>
              <w:rPr>
                <w:rFonts w:cs="Times New Roman"/>
                <w:color w:val="000000"/>
                <w:kern w:val="0"/>
              </w:rPr>
            </w:pPr>
            <w:r w:rsidRPr="00771DD9">
              <w:rPr>
                <w:rFonts w:cs="Times New Roman"/>
                <w:color w:val="000000"/>
                <w:kern w:val="0"/>
              </w:rPr>
              <w:t>1</w:t>
            </w:r>
            <w:r w:rsidR="00D87A25">
              <w:rPr>
                <w:rFonts w:cs="Times New Roman"/>
                <w:color w:val="000000"/>
                <w:kern w:val="0"/>
              </w:rPr>
              <w:t>39</w:t>
            </w:r>
          </w:p>
        </w:tc>
        <w:tc>
          <w:tcPr>
            <w:tcW w:w="2001"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5A91EB04" w14:textId="77777777">
            <w:pPr>
              <w:keepNext/>
              <w:keepLines/>
              <w:spacing w:after="120"/>
              <w:jc w:val="center"/>
              <w:rPr>
                <w:rFonts w:cs="Times New Roman"/>
                <w:color w:val="000000"/>
                <w:kern w:val="0"/>
              </w:rPr>
            </w:pPr>
            <w:r w:rsidRPr="00771DD9">
              <w:rPr>
                <w:rFonts w:cs="Times New Roman"/>
                <w:color w:val="000000"/>
                <w:kern w:val="0"/>
              </w:rPr>
              <w:t>0.</w:t>
            </w:r>
            <w:r w:rsidR="00D87A25">
              <w:rPr>
                <w:rFonts w:cs="Times New Roman"/>
                <w:color w:val="000000"/>
                <w:kern w:val="0"/>
              </w:rPr>
              <w:t>9</w:t>
            </w:r>
            <w:r w:rsidRPr="00771DD9">
              <w:rPr>
                <w:rFonts w:cs="Times New Roman"/>
                <w:color w:val="000000"/>
                <w:kern w:val="0"/>
              </w:rPr>
              <w:t>%</w:t>
            </w:r>
          </w:p>
        </w:tc>
      </w:tr>
      <w:tr w14:paraId="7890C62E" w14:textId="77777777" w:rsidTr="00085542">
        <w:tblPrEx>
          <w:tblW w:w="9360" w:type="dxa"/>
          <w:tblInd w:w="93" w:type="dxa"/>
          <w:tblLayout w:type="fixed"/>
          <w:tblLook w:val="0000"/>
        </w:tblPrEx>
        <w:trPr>
          <w:trHeight w:val="253"/>
        </w:trPr>
        <w:tc>
          <w:tcPr>
            <w:tcW w:w="2290"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1C0EA28C" w14:textId="77777777">
            <w:pPr>
              <w:keepNext/>
              <w:keepLines/>
              <w:spacing w:after="120"/>
              <w:jc w:val="right"/>
              <w:rPr>
                <w:rFonts w:cs="Times New Roman"/>
                <w:color w:val="000000"/>
                <w:kern w:val="0"/>
              </w:rPr>
            </w:pPr>
            <w:r w:rsidRPr="00771DD9">
              <w:rPr>
                <w:rFonts w:cs="Times New Roman"/>
                <w:color w:val="000000"/>
                <w:kern w:val="0"/>
              </w:rPr>
              <w:t xml:space="preserve">Software Out-of-Date </w:t>
            </w:r>
          </w:p>
        </w:tc>
        <w:tc>
          <w:tcPr>
            <w:tcW w:w="1467"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787E97D8" w14:textId="77777777">
            <w:pPr>
              <w:keepNext/>
              <w:keepLines/>
              <w:spacing w:after="120"/>
              <w:jc w:val="center"/>
              <w:rPr>
                <w:rFonts w:cs="Times New Roman"/>
                <w:color w:val="000000"/>
                <w:kern w:val="0"/>
              </w:rPr>
            </w:pPr>
            <w:r w:rsidRPr="00771DD9">
              <w:rPr>
                <w:rFonts w:cs="Times New Roman"/>
                <w:color w:val="000000"/>
                <w:kern w:val="0"/>
              </w:rPr>
              <w:t>7</w:t>
            </w:r>
            <w:r w:rsidR="00D87A25">
              <w:rPr>
                <w:rFonts w:cs="Times New Roman"/>
                <w:color w:val="000000"/>
                <w:kern w:val="0"/>
              </w:rPr>
              <w:t>8</w:t>
            </w:r>
          </w:p>
        </w:tc>
        <w:tc>
          <w:tcPr>
            <w:tcW w:w="1334"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2B942225" w14:textId="77777777">
            <w:pPr>
              <w:keepNext/>
              <w:keepLines/>
              <w:spacing w:after="120"/>
              <w:jc w:val="center"/>
              <w:rPr>
                <w:rFonts w:cs="Times New Roman"/>
                <w:color w:val="000000"/>
                <w:kern w:val="0"/>
              </w:rPr>
            </w:pPr>
            <w:r w:rsidRPr="00771DD9">
              <w:rPr>
                <w:rFonts w:cs="Times New Roman"/>
                <w:color w:val="000000"/>
                <w:kern w:val="0"/>
              </w:rPr>
              <w:t>0.</w:t>
            </w:r>
            <w:r w:rsidR="00D87A25">
              <w:rPr>
                <w:rFonts w:cs="Times New Roman"/>
                <w:color w:val="000000"/>
                <w:kern w:val="0"/>
              </w:rPr>
              <w:t>5</w:t>
            </w:r>
            <w:r w:rsidRPr="00771DD9">
              <w:rPr>
                <w:rFonts w:cs="Times New Roman"/>
                <w:color w:val="000000"/>
                <w:kern w:val="0"/>
              </w:rPr>
              <w:t>%</w:t>
            </w:r>
          </w:p>
        </w:tc>
        <w:tc>
          <w:tcPr>
            <w:tcW w:w="2268"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6CEEB5D6" w14:textId="77777777">
            <w:pPr>
              <w:keepNext/>
              <w:keepLines/>
              <w:spacing w:after="120"/>
              <w:jc w:val="center"/>
              <w:rPr>
                <w:rFonts w:cs="Times New Roman"/>
                <w:color w:val="000000"/>
                <w:kern w:val="0"/>
              </w:rPr>
            </w:pPr>
            <w:r>
              <w:rPr>
                <w:rFonts w:cs="Times New Roman"/>
                <w:color w:val="000000"/>
                <w:kern w:val="0"/>
              </w:rPr>
              <w:t>9</w:t>
            </w:r>
          </w:p>
        </w:tc>
        <w:tc>
          <w:tcPr>
            <w:tcW w:w="2001" w:type="dxa"/>
            <w:tcBorders>
              <w:top w:val="nil"/>
              <w:left w:val="single" w:sz="4" w:space="0" w:color="auto"/>
              <w:bottom w:val="single" w:sz="4" w:space="0" w:color="auto"/>
              <w:right w:val="single" w:sz="4" w:space="0" w:color="auto"/>
            </w:tcBorders>
            <w:shd w:val="clear" w:color="auto" w:fill="FFFFFF" w:themeFill="background1"/>
            <w:vAlign w:val="bottom"/>
          </w:tcPr>
          <w:p w:rsidR="00CC089F" w:rsidRPr="00771DD9" w:rsidP="00CC089F" w14:paraId="1CC2CF20" w14:textId="77777777">
            <w:pPr>
              <w:keepNext/>
              <w:keepLines/>
              <w:spacing w:after="120"/>
              <w:jc w:val="center"/>
              <w:rPr>
                <w:rFonts w:cs="Times New Roman"/>
                <w:color w:val="000000"/>
                <w:kern w:val="0"/>
              </w:rPr>
            </w:pPr>
            <w:r w:rsidRPr="00771DD9">
              <w:rPr>
                <w:rFonts w:cs="Times New Roman"/>
                <w:color w:val="000000"/>
                <w:kern w:val="0"/>
              </w:rPr>
              <w:t>0.0</w:t>
            </w:r>
            <w:r w:rsidR="00D87A25">
              <w:rPr>
                <w:rFonts w:cs="Times New Roman"/>
                <w:color w:val="000000"/>
                <w:kern w:val="0"/>
              </w:rPr>
              <w:t>6</w:t>
            </w:r>
            <w:r w:rsidRPr="00771DD9">
              <w:rPr>
                <w:rFonts w:cs="Times New Roman"/>
                <w:color w:val="000000"/>
                <w:kern w:val="0"/>
              </w:rPr>
              <w:t>%</w:t>
            </w:r>
          </w:p>
        </w:tc>
      </w:tr>
      <w:tr w14:paraId="292664EB" w14:textId="77777777" w:rsidTr="00085542">
        <w:tblPrEx>
          <w:tblW w:w="9360" w:type="dxa"/>
          <w:tblInd w:w="93" w:type="dxa"/>
          <w:tblLayout w:type="fixed"/>
          <w:tblLook w:val="0000"/>
        </w:tblPrEx>
        <w:trPr>
          <w:trHeight w:val="253"/>
        </w:trPr>
        <w:tc>
          <w:tcPr>
            <w:tcW w:w="2290" w:type="dxa"/>
            <w:tcBorders>
              <w:left w:val="single" w:sz="4" w:space="0" w:color="auto"/>
              <w:bottom w:val="single" w:sz="4" w:space="0" w:color="auto"/>
              <w:right w:val="single" w:sz="4" w:space="0" w:color="auto"/>
            </w:tcBorders>
            <w:vAlign w:val="bottom"/>
          </w:tcPr>
          <w:p w:rsidR="00CC089F" w:rsidRPr="00771DD9" w:rsidP="00CC089F" w14:paraId="650FBE75" w14:textId="77777777">
            <w:pPr>
              <w:keepNext/>
              <w:keepLines/>
              <w:spacing w:after="120"/>
              <w:jc w:val="right"/>
              <w:rPr>
                <w:rFonts w:cs="Times New Roman"/>
                <w:color w:val="000000"/>
                <w:kern w:val="0"/>
              </w:rPr>
            </w:pPr>
            <w:r w:rsidRPr="00771DD9">
              <w:rPr>
                <w:rFonts w:cs="Times New Roman"/>
                <w:color w:val="000000"/>
                <w:kern w:val="0"/>
              </w:rPr>
              <w:t>Equipment Failure</w:t>
            </w:r>
          </w:p>
        </w:tc>
        <w:tc>
          <w:tcPr>
            <w:tcW w:w="1467" w:type="dxa"/>
            <w:tcBorders>
              <w:top w:val="nil"/>
              <w:left w:val="single" w:sz="4" w:space="0" w:color="auto"/>
              <w:bottom w:val="single" w:sz="4" w:space="0" w:color="auto"/>
              <w:right w:val="single" w:sz="4" w:space="0" w:color="auto"/>
            </w:tcBorders>
            <w:vAlign w:val="bottom"/>
          </w:tcPr>
          <w:p w:rsidR="00CC089F" w:rsidRPr="00771DD9" w:rsidP="00CC089F" w14:paraId="280A7023" w14:textId="77777777">
            <w:pPr>
              <w:keepNext/>
              <w:keepLines/>
              <w:spacing w:after="120"/>
              <w:jc w:val="center"/>
              <w:rPr>
                <w:rFonts w:cs="Times New Roman"/>
                <w:color w:val="000000"/>
                <w:kern w:val="0"/>
              </w:rPr>
            </w:pPr>
            <w:r w:rsidRPr="00771DD9">
              <w:rPr>
                <w:rFonts w:cs="Times New Roman"/>
                <w:color w:val="000000"/>
                <w:kern w:val="0"/>
              </w:rPr>
              <w:t>7</w:t>
            </w:r>
            <w:r w:rsidR="00D87A25">
              <w:rPr>
                <w:rFonts w:cs="Times New Roman"/>
                <w:color w:val="000000"/>
                <w:kern w:val="0"/>
              </w:rPr>
              <w:t>6</w:t>
            </w:r>
          </w:p>
        </w:tc>
        <w:tc>
          <w:tcPr>
            <w:tcW w:w="1334" w:type="dxa"/>
            <w:tcBorders>
              <w:top w:val="nil"/>
              <w:left w:val="single" w:sz="4" w:space="0" w:color="auto"/>
              <w:bottom w:val="single" w:sz="4" w:space="0" w:color="auto"/>
              <w:right w:val="single" w:sz="4" w:space="0" w:color="auto"/>
            </w:tcBorders>
            <w:vAlign w:val="bottom"/>
          </w:tcPr>
          <w:p w:rsidR="00CC089F" w:rsidRPr="00771DD9" w:rsidP="00CC089F" w14:paraId="337CBC31" w14:textId="77777777">
            <w:pPr>
              <w:keepNext/>
              <w:keepLines/>
              <w:spacing w:after="120"/>
              <w:jc w:val="center"/>
              <w:rPr>
                <w:rFonts w:cs="Times New Roman"/>
                <w:color w:val="000000"/>
                <w:kern w:val="0"/>
              </w:rPr>
            </w:pPr>
            <w:r w:rsidRPr="00771DD9">
              <w:rPr>
                <w:rFonts w:cs="Times New Roman"/>
                <w:color w:val="000000"/>
                <w:kern w:val="0"/>
              </w:rPr>
              <w:t>0.</w:t>
            </w:r>
            <w:r w:rsidR="00D87A25">
              <w:rPr>
                <w:rFonts w:cs="Times New Roman"/>
                <w:color w:val="000000"/>
                <w:kern w:val="0"/>
              </w:rPr>
              <w:t>5</w:t>
            </w:r>
            <w:r w:rsidRPr="00771DD9">
              <w:rPr>
                <w:rFonts w:cs="Times New Roman"/>
                <w:color w:val="000000"/>
                <w:kern w:val="0"/>
              </w:rPr>
              <w:t>%</w:t>
            </w:r>
          </w:p>
        </w:tc>
        <w:tc>
          <w:tcPr>
            <w:tcW w:w="2268" w:type="dxa"/>
            <w:tcBorders>
              <w:top w:val="nil"/>
              <w:left w:val="single" w:sz="4" w:space="0" w:color="auto"/>
              <w:bottom w:val="single" w:sz="4" w:space="0" w:color="auto"/>
              <w:right w:val="single" w:sz="4" w:space="0" w:color="auto"/>
            </w:tcBorders>
            <w:vAlign w:val="bottom"/>
          </w:tcPr>
          <w:p w:rsidR="00CC089F" w:rsidRPr="00771DD9" w:rsidP="00CC089F" w14:paraId="534C7698" w14:textId="77777777">
            <w:pPr>
              <w:keepNext/>
              <w:keepLines/>
              <w:spacing w:after="120"/>
              <w:jc w:val="center"/>
              <w:rPr>
                <w:rFonts w:cs="Times New Roman"/>
                <w:color w:val="000000"/>
                <w:kern w:val="0"/>
              </w:rPr>
            </w:pPr>
            <w:r>
              <w:rPr>
                <w:rFonts w:cs="Times New Roman"/>
                <w:color w:val="000000"/>
                <w:kern w:val="0"/>
              </w:rPr>
              <w:t>39</w:t>
            </w:r>
          </w:p>
        </w:tc>
        <w:tc>
          <w:tcPr>
            <w:tcW w:w="2001" w:type="dxa"/>
            <w:tcBorders>
              <w:top w:val="nil"/>
              <w:left w:val="single" w:sz="4" w:space="0" w:color="auto"/>
              <w:bottom w:val="single" w:sz="4" w:space="0" w:color="auto"/>
              <w:right w:val="single" w:sz="4" w:space="0" w:color="auto"/>
            </w:tcBorders>
            <w:vAlign w:val="bottom"/>
          </w:tcPr>
          <w:p w:rsidR="00CC089F" w:rsidRPr="00771DD9" w:rsidP="00CC089F" w14:paraId="376E9A68" w14:textId="77777777">
            <w:pPr>
              <w:keepNext/>
              <w:keepLines/>
              <w:spacing w:after="120"/>
              <w:jc w:val="center"/>
              <w:rPr>
                <w:rFonts w:cs="Times New Roman"/>
                <w:color w:val="000000"/>
                <w:kern w:val="0"/>
              </w:rPr>
            </w:pPr>
            <w:r w:rsidRPr="00771DD9">
              <w:rPr>
                <w:rFonts w:cs="Times New Roman"/>
                <w:color w:val="000000"/>
                <w:kern w:val="0"/>
              </w:rPr>
              <w:t>0.2%</w:t>
            </w:r>
          </w:p>
        </w:tc>
      </w:tr>
      <w:tr w14:paraId="730FC791" w14:textId="77777777" w:rsidTr="00085542">
        <w:tblPrEx>
          <w:tblW w:w="9360" w:type="dxa"/>
          <w:tblInd w:w="93" w:type="dxa"/>
          <w:tblLayout w:type="fixed"/>
          <w:tblLook w:val="0000"/>
        </w:tblPrEx>
        <w:trPr>
          <w:trHeight w:val="253"/>
        </w:trPr>
        <w:tc>
          <w:tcPr>
            <w:tcW w:w="2290" w:type="dxa"/>
            <w:tcBorders>
              <w:top w:val="nil"/>
              <w:left w:val="single" w:sz="4" w:space="0" w:color="auto"/>
              <w:bottom w:val="single" w:sz="4" w:space="0" w:color="auto"/>
              <w:right w:val="single" w:sz="4" w:space="0" w:color="auto"/>
            </w:tcBorders>
            <w:vAlign w:val="bottom"/>
          </w:tcPr>
          <w:p w:rsidR="00CC089F" w:rsidRPr="00771DD9" w:rsidP="00CC089F" w14:paraId="40FA5CBE" w14:textId="77777777">
            <w:pPr>
              <w:keepNext/>
              <w:keepLines/>
              <w:spacing w:after="120"/>
              <w:jc w:val="right"/>
              <w:rPr>
                <w:rFonts w:cs="Times New Roman"/>
                <w:color w:val="000000"/>
                <w:kern w:val="0"/>
              </w:rPr>
            </w:pPr>
            <w:r w:rsidRPr="00771DD9">
              <w:rPr>
                <w:rFonts w:cs="Times New Roman"/>
                <w:color w:val="000000"/>
                <w:kern w:val="0"/>
              </w:rPr>
              <w:t>User Error</w:t>
            </w:r>
          </w:p>
        </w:tc>
        <w:tc>
          <w:tcPr>
            <w:tcW w:w="1467" w:type="dxa"/>
            <w:tcBorders>
              <w:top w:val="nil"/>
              <w:left w:val="single" w:sz="4" w:space="0" w:color="auto"/>
              <w:bottom w:val="single" w:sz="4" w:space="0" w:color="auto"/>
              <w:right w:val="single" w:sz="4" w:space="0" w:color="auto"/>
            </w:tcBorders>
            <w:vAlign w:val="bottom"/>
          </w:tcPr>
          <w:p w:rsidR="00CC089F" w:rsidRPr="00771DD9" w:rsidP="00CC089F" w14:paraId="5FC4C8E7" w14:textId="77777777">
            <w:pPr>
              <w:keepNext/>
              <w:keepLines/>
              <w:spacing w:after="120"/>
              <w:jc w:val="center"/>
              <w:rPr>
                <w:rFonts w:cs="Times New Roman"/>
                <w:color w:val="000000"/>
                <w:kern w:val="0"/>
              </w:rPr>
            </w:pPr>
            <w:r w:rsidRPr="00771DD9">
              <w:rPr>
                <w:rFonts w:cs="Times New Roman"/>
                <w:color w:val="000000"/>
                <w:kern w:val="0"/>
              </w:rPr>
              <w:t>17</w:t>
            </w:r>
          </w:p>
        </w:tc>
        <w:tc>
          <w:tcPr>
            <w:tcW w:w="1334" w:type="dxa"/>
            <w:tcBorders>
              <w:top w:val="nil"/>
              <w:left w:val="single" w:sz="4" w:space="0" w:color="auto"/>
              <w:bottom w:val="single" w:sz="4" w:space="0" w:color="auto"/>
              <w:right w:val="single" w:sz="4" w:space="0" w:color="auto"/>
            </w:tcBorders>
            <w:vAlign w:val="bottom"/>
          </w:tcPr>
          <w:p w:rsidR="00CC089F" w:rsidRPr="00771DD9" w:rsidP="00CC089F" w14:paraId="1B5C24A1" w14:textId="77777777">
            <w:pPr>
              <w:keepNext/>
              <w:keepLines/>
              <w:spacing w:after="120"/>
              <w:jc w:val="center"/>
              <w:rPr>
                <w:rFonts w:cs="Times New Roman"/>
                <w:color w:val="000000"/>
                <w:kern w:val="0"/>
              </w:rPr>
            </w:pPr>
            <w:r w:rsidRPr="00771DD9">
              <w:rPr>
                <w:rFonts w:cs="Times New Roman"/>
                <w:color w:val="000000"/>
                <w:kern w:val="0"/>
              </w:rPr>
              <w:t>0.</w:t>
            </w:r>
            <w:r w:rsidR="00D87A25">
              <w:rPr>
                <w:rFonts w:cs="Times New Roman"/>
                <w:color w:val="000000"/>
                <w:kern w:val="0"/>
              </w:rPr>
              <w:t>1</w:t>
            </w:r>
            <w:r w:rsidRPr="00771DD9">
              <w:rPr>
                <w:rFonts w:cs="Times New Roman"/>
                <w:color w:val="000000"/>
                <w:kern w:val="0"/>
              </w:rPr>
              <w:t>%</w:t>
            </w:r>
          </w:p>
        </w:tc>
        <w:tc>
          <w:tcPr>
            <w:tcW w:w="2268" w:type="dxa"/>
            <w:tcBorders>
              <w:top w:val="nil"/>
              <w:left w:val="single" w:sz="4" w:space="0" w:color="auto"/>
              <w:bottom w:val="single" w:sz="4" w:space="0" w:color="auto"/>
              <w:right w:val="single" w:sz="4" w:space="0" w:color="auto"/>
            </w:tcBorders>
            <w:vAlign w:val="bottom"/>
          </w:tcPr>
          <w:p w:rsidR="00CC089F" w:rsidRPr="00771DD9" w:rsidP="00CC089F" w14:paraId="38F5FEBE" w14:textId="77777777">
            <w:pPr>
              <w:keepNext/>
              <w:keepLines/>
              <w:spacing w:after="120"/>
              <w:jc w:val="center"/>
              <w:rPr>
                <w:rFonts w:cs="Times New Roman"/>
                <w:color w:val="000000"/>
                <w:kern w:val="0"/>
              </w:rPr>
            </w:pPr>
            <w:r w:rsidRPr="00771DD9">
              <w:rPr>
                <w:rFonts w:cs="Times New Roman"/>
                <w:color w:val="000000"/>
                <w:kern w:val="0"/>
              </w:rPr>
              <w:t>10</w:t>
            </w:r>
          </w:p>
        </w:tc>
        <w:tc>
          <w:tcPr>
            <w:tcW w:w="2001" w:type="dxa"/>
            <w:tcBorders>
              <w:top w:val="nil"/>
              <w:left w:val="single" w:sz="4" w:space="0" w:color="auto"/>
              <w:bottom w:val="single" w:sz="4" w:space="0" w:color="auto"/>
              <w:right w:val="single" w:sz="4" w:space="0" w:color="auto"/>
            </w:tcBorders>
            <w:vAlign w:val="bottom"/>
          </w:tcPr>
          <w:p w:rsidR="00CC089F" w:rsidRPr="00771DD9" w:rsidP="00CC089F" w14:paraId="503A9916" w14:textId="77777777">
            <w:pPr>
              <w:keepNext/>
              <w:keepLines/>
              <w:spacing w:after="120"/>
              <w:jc w:val="center"/>
              <w:rPr>
                <w:rFonts w:cs="Times New Roman"/>
                <w:color w:val="000000"/>
                <w:kern w:val="0"/>
              </w:rPr>
            </w:pPr>
            <w:r w:rsidRPr="00771DD9">
              <w:rPr>
                <w:rFonts w:cs="Times New Roman"/>
                <w:color w:val="000000"/>
                <w:kern w:val="0"/>
              </w:rPr>
              <w:t>0.0</w:t>
            </w:r>
            <w:r w:rsidR="00D87A25">
              <w:rPr>
                <w:rFonts w:cs="Times New Roman"/>
                <w:color w:val="000000"/>
                <w:kern w:val="0"/>
              </w:rPr>
              <w:t>6</w:t>
            </w:r>
            <w:r w:rsidRPr="00771DD9">
              <w:rPr>
                <w:rFonts w:cs="Times New Roman"/>
                <w:color w:val="000000"/>
                <w:kern w:val="0"/>
              </w:rPr>
              <w:t>%</w:t>
            </w:r>
          </w:p>
        </w:tc>
      </w:tr>
      <w:tr w14:paraId="3899F14E" w14:textId="77777777" w:rsidTr="00085542">
        <w:tblPrEx>
          <w:tblW w:w="9360" w:type="dxa"/>
          <w:tblInd w:w="93" w:type="dxa"/>
          <w:tblLayout w:type="fixed"/>
          <w:tblLook w:val="0000"/>
        </w:tblPrEx>
        <w:trPr>
          <w:trHeight w:val="253"/>
        </w:trPr>
        <w:tc>
          <w:tcPr>
            <w:tcW w:w="2290" w:type="dxa"/>
            <w:tcBorders>
              <w:top w:val="nil"/>
              <w:left w:val="single" w:sz="4" w:space="0" w:color="auto"/>
              <w:bottom w:val="single" w:sz="4" w:space="0" w:color="auto"/>
              <w:right w:val="single" w:sz="4" w:space="0" w:color="auto"/>
            </w:tcBorders>
            <w:vAlign w:val="bottom"/>
          </w:tcPr>
          <w:p w:rsidR="00CC089F" w:rsidRPr="00771DD9" w:rsidP="00CC089F" w14:paraId="3F67F911" w14:textId="77777777">
            <w:pPr>
              <w:spacing w:after="120"/>
              <w:jc w:val="right"/>
              <w:rPr>
                <w:rFonts w:cs="Times New Roman"/>
                <w:color w:val="000000"/>
                <w:kern w:val="0"/>
              </w:rPr>
            </w:pPr>
            <w:r w:rsidRPr="00771DD9">
              <w:rPr>
                <w:rFonts w:cs="Times New Roman"/>
                <w:color w:val="000000"/>
                <w:kern w:val="0"/>
              </w:rPr>
              <w:t>Other</w:t>
            </w:r>
          </w:p>
        </w:tc>
        <w:tc>
          <w:tcPr>
            <w:tcW w:w="1467" w:type="dxa"/>
            <w:tcBorders>
              <w:top w:val="nil"/>
              <w:left w:val="single" w:sz="4" w:space="0" w:color="auto"/>
              <w:bottom w:val="single" w:sz="4" w:space="0" w:color="auto"/>
              <w:right w:val="single" w:sz="4" w:space="0" w:color="auto"/>
            </w:tcBorders>
            <w:vAlign w:val="bottom"/>
          </w:tcPr>
          <w:p w:rsidR="00CC089F" w:rsidRPr="00771DD9" w:rsidP="00CC089F" w14:paraId="12CAD087" w14:textId="77777777">
            <w:pPr>
              <w:spacing w:after="120"/>
              <w:jc w:val="center"/>
              <w:rPr>
                <w:rFonts w:cs="Times New Roman"/>
                <w:color w:val="000000"/>
                <w:kern w:val="0"/>
              </w:rPr>
            </w:pPr>
            <w:r w:rsidRPr="00771DD9">
              <w:rPr>
                <w:rFonts w:cs="Times New Roman"/>
                <w:color w:val="000000"/>
                <w:kern w:val="0"/>
              </w:rPr>
              <w:t>315</w:t>
            </w:r>
          </w:p>
        </w:tc>
        <w:tc>
          <w:tcPr>
            <w:tcW w:w="1334" w:type="dxa"/>
            <w:tcBorders>
              <w:top w:val="nil"/>
              <w:left w:val="single" w:sz="4" w:space="0" w:color="auto"/>
              <w:bottom w:val="single" w:sz="4" w:space="0" w:color="auto"/>
              <w:right w:val="single" w:sz="4" w:space="0" w:color="auto"/>
            </w:tcBorders>
            <w:vAlign w:val="bottom"/>
          </w:tcPr>
          <w:p w:rsidR="00CC089F" w:rsidRPr="00771DD9" w:rsidP="00CC089F" w14:paraId="09AE8C3C" w14:textId="77777777">
            <w:pPr>
              <w:spacing w:after="120"/>
              <w:jc w:val="center"/>
              <w:rPr>
                <w:rFonts w:cs="Times New Roman"/>
                <w:color w:val="000000"/>
                <w:kern w:val="0"/>
              </w:rPr>
            </w:pPr>
            <w:r w:rsidRPr="00771DD9">
              <w:rPr>
                <w:rFonts w:cs="Times New Roman"/>
                <w:color w:val="000000"/>
                <w:kern w:val="0"/>
              </w:rPr>
              <w:t>1.</w:t>
            </w:r>
            <w:r w:rsidR="00D87A25">
              <w:rPr>
                <w:rFonts w:cs="Times New Roman"/>
                <w:color w:val="000000"/>
                <w:kern w:val="0"/>
              </w:rPr>
              <w:t>9</w:t>
            </w:r>
            <w:r w:rsidRPr="00771DD9">
              <w:rPr>
                <w:rFonts w:cs="Times New Roman"/>
                <w:color w:val="000000"/>
                <w:kern w:val="0"/>
              </w:rPr>
              <w:t>%</w:t>
            </w:r>
          </w:p>
        </w:tc>
        <w:tc>
          <w:tcPr>
            <w:tcW w:w="2268" w:type="dxa"/>
            <w:tcBorders>
              <w:top w:val="nil"/>
              <w:left w:val="single" w:sz="4" w:space="0" w:color="auto"/>
              <w:bottom w:val="single" w:sz="4" w:space="0" w:color="auto"/>
              <w:right w:val="single" w:sz="4" w:space="0" w:color="auto"/>
            </w:tcBorders>
            <w:vAlign w:val="bottom"/>
          </w:tcPr>
          <w:p w:rsidR="00CC089F" w:rsidRPr="00771DD9" w:rsidP="00CC089F" w14:paraId="08468E53" w14:textId="77777777">
            <w:pPr>
              <w:spacing w:after="120"/>
              <w:jc w:val="center"/>
              <w:rPr>
                <w:rFonts w:cs="Times New Roman"/>
                <w:color w:val="000000"/>
                <w:kern w:val="0"/>
              </w:rPr>
            </w:pPr>
            <w:r w:rsidRPr="00771DD9">
              <w:rPr>
                <w:rFonts w:cs="Times New Roman"/>
                <w:color w:val="000000"/>
                <w:kern w:val="0"/>
              </w:rPr>
              <w:t>267</w:t>
            </w:r>
          </w:p>
        </w:tc>
        <w:tc>
          <w:tcPr>
            <w:tcW w:w="2001" w:type="dxa"/>
            <w:tcBorders>
              <w:top w:val="nil"/>
              <w:left w:val="single" w:sz="4" w:space="0" w:color="auto"/>
              <w:bottom w:val="single" w:sz="4" w:space="0" w:color="auto"/>
              <w:right w:val="single" w:sz="4" w:space="0" w:color="auto"/>
            </w:tcBorders>
            <w:vAlign w:val="bottom"/>
          </w:tcPr>
          <w:p w:rsidR="00CC089F" w:rsidRPr="00771DD9" w:rsidP="00CC089F" w14:paraId="15CEC64B" w14:textId="77777777">
            <w:pPr>
              <w:spacing w:after="120"/>
              <w:jc w:val="center"/>
              <w:rPr>
                <w:rFonts w:cs="Times New Roman"/>
                <w:color w:val="000000"/>
                <w:kern w:val="0"/>
              </w:rPr>
            </w:pPr>
            <w:r w:rsidRPr="00771DD9">
              <w:rPr>
                <w:rFonts w:cs="Times New Roman"/>
                <w:color w:val="000000"/>
                <w:kern w:val="0"/>
              </w:rPr>
              <w:t>1.</w:t>
            </w:r>
            <w:r w:rsidR="00D87A25">
              <w:rPr>
                <w:rFonts w:cs="Times New Roman"/>
                <w:color w:val="000000"/>
                <w:kern w:val="0"/>
              </w:rPr>
              <w:t>7</w:t>
            </w:r>
            <w:r w:rsidRPr="00771DD9">
              <w:rPr>
                <w:rFonts w:cs="Times New Roman"/>
                <w:color w:val="000000"/>
                <w:kern w:val="0"/>
              </w:rPr>
              <w:t>%</w:t>
            </w:r>
          </w:p>
        </w:tc>
      </w:tr>
      <w:bookmarkEnd w:id="351"/>
    </w:tbl>
    <w:p w:rsidR="001D4C4C" w:rsidP="00343A2C" w14:paraId="04CB10CF" w14:textId="77777777">
      <w:pPr>
        <w:pStyle w:val="ParaNum"/>
        <w:numPr>
          <w:ilvl w:val="0"/>
          <w:numId w:val="0"/>
        </w:numPr>
        <w:rPr>
          <w:rFonts w:cs="Times New Roman"/>
        </w:rPr>
      </w:pPr>
    </w:p>
    <w:p w:rsidR="00343A2C" w:rsidP="000253D4" w14:paraId="7D509602" w14:textId="752786BE">
      <w:pPr>
        <w:pStyle w:val="ParaNum"/>
        <w:numPr>
          <w:ilvl w:val="0"/>
          <w:numId w:val="0"/>
        </w:numPr>
        <w:contextualSpacing/>
        <w:rPr>
          <w:rFonts w:cs="Times New Roman"/>
        </w:rPr>
      </w:pPr>
      <w:r w:rsidRPr="00785A17">
        <w:rPr>
          <w:rFonts w:cs="Times New Roman"/>
        </w:rPr>
        <w:t xml:space="preserve">Second, Form Three allowed EAS Participants to report complications by describing them in “explanation” text fields.  </w:t>
      </w:r>
      <w:r w:rsidRPr="001D3751">
        <w:rPr>
          <w:rFonts w:cs="Times New Roman"/>
          <w:b/>
        </w:rPr>
        <w:t xml:space="preserve">Table </w:t>
      </w:r>
      <w:r w:rsidR="00521FA1">
        <w:rPr>
          <w:rFonts w:cs="Times New Roman"/>
          <w:b/>
        </w:rPr>
        <w:t>12</w:t>
      </w:r>
      <w:r w:rsidRPr="00785A17">
        <w:rPr>
          <w:rFonts w:cs="Times New Roman"/>
        </w:rPr>
        <w:t xml:space="preserve"> categorizes the responses received in those text fields.  The most notable complications reported by test participants include eq</w:t>
      </w:r>
      <w:r w:rsidRPr="00C32047">
        <w:rPr>
          <w:rFonts w:cs="Times New Roman"/>
        </w:rPr>
        <w:t xml:space="preserve">uipment </w:t>
      </w:r>
      <w:r w:rsidR="00B44BDD">
        <w:rPr>
          <w:rFonts w:cs="Times New Roman"/>
        </w:rPr>
        <w:t>failures</w:t>
      </w:r>
      <w:r w:rsidRPr="00C32047">
        <w:rPr>
          <w:rFonts w:cs="Times New Roman"/>
        </w:rPr>
        <w:t xml:space="preserve">, </w:t>
      </w:r>
      <w:r w:rsidR="00B44BDD">
        <w:rPr>
          <w:rFonts w:cs="Times New Roman"/>
        </w:rPr>
        <w:t xml:space="preserve">monitoring source failures, </w:t>
      </w:r>
      <w:r w:rsidRPr="00C32047" w:rsidR="00B44BDD">
        <w:rPr>
          <w:rFonts w:cs="Times New Roman"/>
        </w:rPr>
        <w:t xml:space="preserve">failure to update equipment software </w:t>
      </w:r>
      <w:r w:rsidR="00B44BDD">
        <w:rPr>
          <w:rFonts w:cs="Times New Roman"/>
        </w:rPr>
        <w:t xml:space="preserve">or firmware, </w:t>
      </w:r>
      <w:r w:rsidRPr="00C32047">
        <w:rPr>
          <w:rFonts w:cs="Times New Roman"/>
        </w:rPr>
        <w:t xml:space="preserve">equipment </w:t>
      </w:r>
      <w:r w:rsidR="00B44BDD">
        <w:rPr>
          <w:rFonts w:cs="Times New Roman"/>
        </w:rPr>
        <w:t>configuration issues</w:t>
      </w:r>
      <w:r w:rsidRPr="00C32047">
        <w:rPr>
          <w:rFonts w:cs="Times New Roman"/>
        </w:rPr>
        <w:t xml:space="preserve">, </w:t>
      </w:r>
      <w:r w:rsidR="00E87BBA">
        <w:rPr>
          <w:rFonts w:cs="Times New Roman"/>
        </w:rPr>
        <w:t xml:space="preserve">IPAWS access errors, </w:t>
      </w:r>
      <w:r w:rsidRPr="00C32047">
        <w:rPr>
          <w:rFonts w:cs="Times New Roman"/>
        </w:rPr>
        <w:t xml:space="preserve">and audio quality issues.  </w:t>
      </w:r>
    </w:p>
    <w:p w:rsidR="000253D4" w:rsidRPr="00E23F3C" w:rsidP="000253D4" w14:paraId="08690DAE" w14:textId="77777777">
      <w:pPr>
        <w:pStyle w:val="ParaNum"/>
        <w:numPr>
          <w:ilvl w:val="0"/>
          <w:numId w:val="0"/>
        </w:numPr>
        <w:contextualSpacing/>
        <w:rPr>
          <w:rFonts w:cs="Times New Roman"/>
        </w:rPr>
      </w:pPr>
    </w:p>
    <w:p w:rsidR="00343A2C" w:rsidRPr="00785A17" w:rsidP="00343A2C" w14:paraId="1797CF81" w14:textId="29F4526D">
      <w:pPr>
        <w:pStyle w:val="ParaNum"/>
        <w:keepNext/>
        <w:keepLines/>
        <w:numPr>
          <w:ilvl w:val="0"/>
          <w:numId w:val="0"/>
        </w:numPr>
        <w:rPr>
          <w:rFonts w:cs="Times New Roman"/>
          <w:b/>
        </w:rPr>
      </w:pPr>
      <w:r w:rsidRPr="24E97C35">
        <w:rPr>
          <w:rFonts w:cs="Times New Roman"/>
          <w:b/>
        </w:rPr>
        <w:t xml:space="preserve">Table </w:t>
      </w:r>
      <w:r w:rsidR="00521FA1">
        <w:rPr>
          <w:rFonts w:cs="Times New Roman"/>
          <w:b/>
        </w:rPr>
        <w:t>12</w:t>
      </w:r>
      <w:r w:rsidRPr="24E97C35">
        <w:rPr>
          <w:rFonts w:cs="Times New Roman"/>
          <w:b/>
        </w:rPr>
        <w:t>. Explanations Reported By Test Participants.</w:t>
      </w:r>
      <w:r>
        <w:rPr>
          <w:rStyle w:val="FootnoteReference"/>
          <w:b/>
        </w:rPr>
        <w:footnoteReference w:id="87"/>
      </w:r>
    </w:p>
    <w:tbl>
      <w:tblPr>
        <w:tblW w:w="8573" w:type="dxa"/>
        <w:tblInd w:w="93" w:type="dxa"/>
        <w:tblLayout w:type="fixed"/>
        <w:tblLook w:val="0000"/>
      </w:tblPr>
      <w:tblGrid>
        <w:gridCol w:w="2692"/>
        <w:gridCol w:w="3073"/>
        <w:gridCol w:w="2808"/>
      </w:tblGrid>
      <w:tr w14:paraId="16073E9F" w14:textId="77777777" w:rsidTr="00085542">
        <w:tblPrEx>
          <w:tblW w:w="8573" w:type="dxa"/>
          <w:tblInd w:w="93" w:type="dxa"/>
          <w:tblLayout w:type="fixed"/>
          <w:tblLook w:val="0000"/>
        </w:tblPrEx>
        <w:trPr>
          <w:trHeight w:val="318"/>
        </w:trPr>
        <w:tc>
          <w:tcPr>
            <w:tcW w:w="2692" w:type="dxa"/>
            <w:vMerge w:val="restart"/>
            <w:tcBorders>
              <w:top w:val="single" w:sz="4" w:space="0" w:color="auto"/>
              <w:left w:val="single" w:sz="4" w:space="0" w:color="auto"/>
              <w:bottom w:val="single" w:sz="4" w:space="0" w:color="auto"/>
              <w:right w:val="single" w:sz="4" w:space="0" w:color="auto"/>
            </w:tcBorders>
            <w:shd w:val="clear" w:color="auto" w:fill="C0C0C0"/>
            <w:noWrap/>
            <w:vAlign w:val="bottom"/>
          </w:tcPr>
          <w:p w:rsidR="006642C3" w:rsidRPr="00085542" w:rsidP="00085542" w14:paraId="3600363F" w14:textId="77777777">
            <w:pPr>
              <w:pStyle w:val="ParaNum"/>
              <w:keepNext/>
              <w:keepLines/>
              <w:numPr>
                <w:ilvl w:val="0"/>
                <w:numId w:val="0"/>
              </w:numPr>
              <w:jc w:val="center"/>
              <w:rPr>
                <w:rFonts w:cs="Times New Roman"/>
                <w:b/>
              </w:rPr>
            </w:pPr>
            <w:r w:rsidRPr="255FCAE1">
              <w:rPr>
                <w:rFonts w:cs="Times New Roman"/>
                <w:b/>
              </w:rPr>
              <w:t>Specific Cause of Complication</w:t>
            </w:r>
          </w:p>
        </w:tc>
        <w:tc>
          <w:tcPr>
            <w:tcW w:w="5881"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6642C3" w:rsidRPr="00085542" w:rsidP="00085542" w14:paraId="412DD312" w14:textId="77777777">
            <w:pPr>
              <w:pStyle w:val="ParaNum"/>
              <w:keepNext/>
              <w:keepLines/>
              <w:numPr>
                <w:ilvl w:val="0"/>
                <w:numId w:val="0"/>
              </w:numPr>
              <w:jc w:val="center"/>
              <w:rPr>
                <w:rFonts w:cs="Times New Roman"/>
                <w:b/>
              </w:rPr>
            </w:pPr>
            <w:r w:rsidRPr="255FCAE1">
              <w:rPr>
                <w:rFonts w:cs="Times New Roman"/>
                <w:b/>
              </w:rPr>
              <w:t>Explanations in Receipt and Retransmission</w:t>
            </w:r>
          </w:p>
        </w:tc>
      </w:tr>
      <w:tr w14:paraId="18BF793E" w14:textId="77777777" w:rsidTr="00085542">
        <w:tblPrEx>
          <w:tblW w:w="8573" w:type="dxa"/>
          <w:tblInd w:w="93" w:type="dxa"/>
          <w:tblLayout w:type="fixed"/>
          <w:tblLook w:val="0000"/>
        </w:tblPrEx>
        <w:trPr>
          <w:trHeight w:val="115"/>
        </w:trPr>
        <w:tc>
          <w:tcPr>
            <w:tcW w:w="2692" w:type="dxa"/>
            <w:vMerge/>
            <w:tcBorders>
              <w:top w:val="single" w:sz="4" w:space="0" w:color="auto"/>
              <w:left w:val="single" w:sz="4" w:space="0" w:color="auto"/>
              <w:bottom w:val="single" w:sz="4" w:space="0" w:color="auto"/>
              <w:right w:val="single" w:sz="4" w:space="0" w:color="auto"/>
            </w:tcBorders>
            <w:shd w:val="clear" w:color="auto" w:fill="C0C0C0"/>
            <w:noWrap/>
            <w:vAlign w:val="bottom"/>
          </w:tcPr>
          <w:p w:rsidR="006642C3" w:rsidRPr="00B57342" w:rsidP="00085542" w14:paraId="2EFA0E83" w14:textId="77777777">
            <w:pPr>
              <w:pStyle w:val="ParaNum"/>
              <w:keepNext/>
              <w:keepLines/>
              <w:rPr>
                <w:rFonts w:cs="Times New Roman"/>
                <w:b/>
                <w:szCs w:val="22"/>
              </w:rPr>
            </w:pPr>
          </w:p>
        </w:tc>
        <w:tc>
          <w:tcPr>
            <w:tcW w:w="3073" w:type="dxa"/>
            <w:tcBorders>
              <w:top w:val="single" w:sz="4" w:space="0" w:color="auto"/>
              <w:left w:val="single" w:sz="4" w:space="0" w:color="auto"/>
              <w:bottom w:val="single" w:sz="4" w:space="0" w:color="auto"/>
              <w:right w:val="single" w:sz="4" w:space="0" w:color="auto"/>
            </w:tcBorders>
            <w:shd w:val="clear" w:color="auto" w:fill="C0C0C0"/>
            <w:vAlign w:val="bottom"/>
          </w:tcPr>
          <w:p w:rsidR="00087381" w:rsidRPr="00085542" w:rsidP="007F6ED0" w14:paraId="4A0B8CA2" w14:textId="77777777">
            <w:pPr>
              <w:pStyle w:val="ParaNum"/>
              <w:keepNext/>
              <w:keepLines/>
              <w:numPr>
                <w:ilvl w:val="0"/>
                <w:numId w:val="0"/>
              </w:numPr>
              <w:jc w:val="center"/>
              <w:rPr>
                <w:rFonts w:cs="Times New Roman"/>
                <w:b/>
              </w:rPr>
            </w:pPr>
            <w:r w:rsidRPr="255FCAE1">
              <w:rPr>
                <w:rFonts w:cs="Times New Roman"/>
                <w:b/>
              </w:rPr>
              <w:t>#</w:t>
            </w:r>
            <w:r w:rsidR="00FF214B">
              <w:rPr>
                <w:rFonts w:cs="Times New Roman"/>
                <w:b/>
              </w:rPr>
              <w:t xml:space="preserve"> </w:t>
            </w:r>
          </w:p>
        </w:tc>
        <w:tc>
          <w:tcPr>
            <w:tcW w:w="2808" w:type="dxa"/>
            <w:tcBorders>
              <w:top w:val="single" w:sz="4" w:space="0" w:color="auto"/>
              <w:left w:val="single" w:sz="4" w:space="0" w:color="auto"/>
              <w:bottom w:val="single" w:sz="4" w:space="0" w:color="auto"/>
              <w:right w:val="single" w:sz="4" w:space="0" w:color="auto"/>
            </w:tcBorders>
            <w:shd w:val="clear" w:color="auto" w:fill="C0C0C0"/>
            <w:vAlign w:val="bottom"/>
          </w:tcPr>
          <w:p w:rsidR="006642C3" w:rsidRPr="00085542" w:rsidP="00085542" w14:paraId="381F02E9" w14:textId="77777777">
            <w:pPr>
              <w:pStyle w:val="ParaNum"/>
              <w:keepNext/>
              <w:keepLines/>
              <w:numPr>
                <w:ilvl w:val="0"/>
                <w:numId w:val="0"/>
              </w:numPr>
              <w:jc w:val="center"/>
              <w:rPr>
                <w:rFonts w:cs="Times New Roman"/>
                <w:b/>
              </w:rPr>
            </w:pPr>
            <w:r w:rsidRPr="255FCAE1">
              <w:rPr>
                <w:rFonts w:cs="Times New Roman"/>
                <w:b/>
              </w:rPr>
              <w:t>%</w:t>
            </w:r>
          </w:p>
        </w:tc>
      </w:tr>
      <w:tr w14:paraId="3E13921A" w14:textId="77777777" w:rsidTr="00085542">
        <w:tblPrEx>
          <w:tblW w:w="8573" w:type="dxa"/>
          <w:tblInd w:w="93" w:type="dxa"/>
          <w:tblLayout w:type="fixed"/>
          <w:tblLook w:val="0000"/>
        </w:tblPrEx>
        <w:trPr>
          <w:trHeight w:val="146"/>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A0679" w:rsidRPr="00C32047" w:rsidP="00085542" w14:paraId="049AF5C7" w14:textId="77777777">
            <w:pPr>
              <w:pStyle w:val="ParaNum"/>
              <w:keepNext/>
              <w:keepLines/>
              <w:numPr>
                <w:ilvl w:val="0"/>
                <w:numId w:val="0"/>
              </w:numPr>
              <w:jc w:val="right"/>
              <w:rPr>
                <w:rFonts w:cs="Times New Roman"/>
              </w:rPr>
            </w:pPr>
            <w:r w:rsidRPr="00785A17">
              <w:rPr>
                <w:rFonts w:cs="Times New Roman"/>
              </w:rPr>
              <w:t xml:space="preserve">Equipment failure </w:t>
            </w:r>
          </w:p>
        </w:tc>
        <w:tc>
          <w:tcPr>
            <w:tcW w:w="30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87381" w:rsidRPr="00DF7C10" w:rsidP="00085542" w14:paraId="47D373E3" w14:textId="46109D64">
            <w:pPr>
              <w:pStyle w:val="ParaNum"/>
              <w:keepNext/>
              <w:keepLines/>
              <w:numPr>
                <w:ilvl w:val="0"/>
                <w:numId w:val="0"/>
              </w:numPr>
              <w:jc w:val="center"/>
              <w:rPr>
                <w:rFonts w:cs="Times New Roman"/>
              </w:rPr>
            </w:pPr>
            <w:r>
              <w:rPr>
                <w:rFonts w:cs="Times New Roman"/>
              </w:rPr>
              <w:t>50</w:t>
            </w:r>
            <w:r w:rsidR="00521FA1">
              <w:rPr>
                <w:rFonts w:cs="Times New Roman"/>
              </w:rPr>
              <w:t>4</w:t>
            </w:r>
          </w:p>
        </w:tc>
        <w:tc>
          <w:tcPr>
            <w:tcW w:w="2808" w:type="dxa"/>
            <w:tcBorders>
              <w:top w:val="single" w:sz="4" w:space="0" w:color="auto"/>
              <w:left w:val="nil"/>
              <w:bottom w:val="single" w:sz="4" w:space="0" w:color="auto"/>
              <w:right w:val="single" w:sz="4" w:space="0" w:color="auto"/>
            </w:tcBorders>
            <w:shd w:val="clear" w:color="auto" w:fill="auto"/>
            <w:vAlign w:val="bottom"/>
          </w:tcPr>
          <w:p w:rsidR="004A0679" w:rsidRPr="00C01B45" w:rsidP="00085542" w14:paraId="1611A5D5" w14:textId="77777777">
            <w:pPr>
              <w:pStyle w:val="ParaNum"/>
              <w:keepNext/>
              <w:keepLines/>
              <w:numPr>
                <w:ilvl w:val="0"/>
                <w:numId w:val="0"/>
              </w:numPr>
              <w:jc w:val="center"/>
              <w:rPr>
                <w:rFonts w:cs="Times New Roman"/>
              </w:rPr>
            </w:pPr>
            <w:r>
              <w:rPr>
                <w:rFonts w:cs="Times New Roman"/>
              </w:rPr>
              <w:t>2.9</w:t>
            </w:r>
            <w:r w:rsidRPr="00D034E5" w:rsidR="00033051">
              <w:rPr>
                <w:rFonts w:cs="Times New Roman"/>
              </w:rPr>
              <w:t>%</w:t>
            </w:r>
          </w:p>
        </w:tc>
      </w:tr>
      <w:tr w14:paraId="64E71A8F" w14:textId="77777777" w:rsidTr="00085542">
        <w:tblPrEx>
          <w:tblW w:w="8573" w:type="dxa"/>
          <w:tblInd w:w="93" w:type="dxa"/>
          <w:tblLayout w:type="fixed"/>
          <w:tblLook w:val="0000"/>
        </w:tblPrEx>
        <w:trPr>
          <w:trHeight w:val="146"/>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F1295" w:rsidRPr="00785A17" w:rsidP="006F1295" w14:paraId="0FD8D25B" w14:textId="77777777">
            <w:pPr>
              <w:pStyle w:val="ParaNum"/>
              <w:keepNext/>
              <w:keepLines/>
              <w:numPr>
                <w:ilvl w:val="0"/>
                <w:numId w:val="0"/>
              </w:numPr>
              <w:jc w:val="right"/>
              <w:rPr>
                <w:rFonts w:cs="Times New Roman"/>
              </w:rPr>
            </w:pPr>
            <w:r>
              <w:rPr>
                <w:rFonts w:cs="Times New Roman"/>
              </w:rPr>
              <w:t>Monitoring source failure</w:t>
            </w:r>
          </w:p>
        </w:tc>
        <w:tc>
          <w:tcPr>
            <w:tcW w:w="30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F1295" w:rsidP="006F1295" w14:paraId="0C0A978C" w14:textId="77777777">
            <w:pPr>
              <w:pStyle w:val="ParaNum"/>
              <w:keepNext/>
              <w:keepLines/>
              <w:numPr>
                <w:ilvl w:val="0"/>
                <w:numId w:val="0"/>
              </w:numPr>
              <w:jc w:val="center"/>
              <w:rPr>
                <w:rFonts w:cs="Times New Roman"/>
              </w:rPr>
            </w:pPr>
            <w:r>
              <w:rPr>
                <w:rFonts w:cs="Times New Roman"/>
              </w:rPr>
              <w:t>217</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P="006F1295" w14:paraId="0D6488F7" w14:textId="77777777">
            <w:pPr>
              <w:pStyle w:val="ParaNum"/>
              <w:keepNext/>
              <w:keepLines/>
              <w:numPr>
                <w:ilvl w:val="0"/>
                <w:numId w:val="0"/>
              </w:numPr>
              <w:jc w:val="center"/>
              <w:rPr>
                <w:rFonts w:cs="Times New Roman"/>
              </w:rPr>
            </w:pPr>
            <w:r>
              <w:rPr>
                <w:rFonts w:cs="Times New Roman"/>
              </w:rPr>
              <w:t>1.2%</w:t>
            </w:r>
          </w:p>
        </w:tc>
      </w:tr>
      <w:tr w14:paraId="5CBEF317" w14:textId="77777777" w:rsidTr="00085542">
        <w:tblPrEx>
          <w:tblW w:w="8573" w:type="dxa"/>
          <w:tblInd w:w="93" w:type="dxa"/>
          <w:tblLayout w:type="fixed"/>
          <w:tblLook w:val="0000"/>
        </w:tblPrEx>
        <w:trPr>
          <w:trHeight w:val="146"/>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F1295" w:rsidRPr="00785A17" w:rsidP="006F1295" w14:paraId="10F2CDF2" w14:textId="77777777">
            <w:pPr>
              <w:pStyle w:val="ParaNum"/>
              <w:keepNext/>
              <w:keepLines/>
              <w:numPr>
                <w:ilvl w:val="0"/>
                <w:numId w:val="0"/>
              </w:numPr>
              <w:jc w:val="right"/>
              <w:rPr>
                <w:rFonts w:cs="Times New Roman"/>
              </w:rPr>
            </w:pPr>
            <w:r w:rsidRPr="00785A17">
              <w:rPr>
                <w:rFonts w:cs="Times New Roman"/>
              </w:rPr>
              <w:t xml:space="preserve">Software </w:t>
            </w:r>
            <w:r>
              <w:rPr>
                <w:rFonts w:cs="Times New Roman"/>
              </w:rPr>
              <w:t>and/or Firmware Issue</w:t>
            </w:r>
          </w:p>
        </w:tc>
        <w:tc>
          <w:tcPr>
            <w:tcW w:w="30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F1295" w:rsidP="007F6ED0" w14:paraId="4DD38944" w14:textId="003472D5">
            <w:pPr>
              <w:pStyle w:val="ParaNum"/>
              <w:keepNext/>
              <w:keepLines/>
              <w:numPr>
                <w:ilvl w:val="0"/>
                <w:numId w:val="0"/>
              </w:numPr>
              <w:jc w:val="center"/>
              <w:rPr>
                <w:rFonts w:cs="Times New Roman"/>
              </w:rPr>
            </w:pPr>
            <w:r>
              <w:rPr>
                <w:rFonts w:cs="Times New Roman"/>
              </w:rPr>
              <w:t>21</w:t>
            </w:r>
            <w:r w:rsidR="00521FA1">
              <w:rPr>
                <w:rFonts w:cs="Times New Roman"/>
              </w:rPr>
              <w:t>5</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P="006F1295" w14:paraId="4745D310" w14:textId="77777777">
            <w:pPr>
              <w:pStyle w:val="ParaNum"/>
              <w:keepNext/>
              <w:keepLines/>
              <w:numPr>
                <w:ilvl w:val="0"/>
                <w:numId w:val="0"/>
              </w:numPr>
              <w:jc w:val="center"/>
              <w:rPr>
                <w:rFonts w:cs="Times New Roman"/>
              </w:rPr>
            </w:pPr>
            <w:r>
              <w:rPr>
                <w:rFonts w:cs="Times New Roman"/>
              </w:rPr>
              <w:t>1.2</w:t>
            </w:r>
            <w:r w:rsidRPr="00D034E5">
              <w:rPr>
                <w:rFonts w:cs="Times New Roman"/>
              </w:rPr>
              <w:t>%</w:t>
            </w:r>
          </w:p>
        </w:tc>
      </w:tr>
      <w:tr w14:paraId="43A77571" w14:textId="77777777" w:rsidTr="00085542">
        <w:tblPrEx>
          <w:tblW w:w="8573" w:type="dxa"/>
          <w:tblInd w:w="93" w:type="dxa"/>
          <w:tblLayout w:type="fixed"/>
          <w:tblLook w:val="0000"/>
        </w:tblPrEx>
        <w:trPr>
          <w:trHeight w:val="172"/>
        </w:trPr>
        <w:tc>
          <w:tcPr>
            <w:tcW w:w="2692" w:type="dxa"/>
            <w:tcBorders>
              <w:left w:val="single" w:sz="4" w:space="0" w:color="auto"/>
              <w:bottom w:val="single" w:sz="4" w:space="0" w:color="auto"/>
              <w:right w:val="single" w:sz="4" w:space="0" w:color="auto"/>
            </w:tcBorders>
            <w:vAlign w:val="bottom"/>
          </w:tcPr>
          <w:p w:rsidR="006F1295" w:rsidRPr="00C32047" w:rsidP="006F1295" w14:paraId="248090E0" w14:textId="77777777">
            <w:pPr>
              <w:pStyle w:val="ParaNum"/>
              <w:keepNext/>
              <w:keepLines/>
              <w:numPr>
                <w:ilvl w:val="0"/>
                <w:numId w:val="0"/>
              </w:numPr>
              <w:jc w:val="right"/>
              <w:rPr>
                <w:rFonts w:cs="Times New Roman"/>
              </w:rPr>
            </w:pPr>
            <w:r>
              <w:rPr>
                <w:rFonts w:cs="Times New Roman"/>
              </w:rPr>
              <w:t>C</w:t>
            </w:r>
            <w:r w:rsidRPr="00785A17">
              <w:rPr>
                <w:rFonts w:cs="Times New Roman"/>
              </w:rPr>
              <w:t>onfiguration issue</w:t>
            </w:r>
          </w:p>
        </w:tc>
        <w:tc>
          <w:tcPr>
            <w:tcW w:w="3073" w:type="dxa"/>
            <w:tcBorders>
              <w:top w:val="nil"/>
              <w:left w:val="single" w:sz="4" w:space="0" w:color="auto"/>
              <w:bottom w:val="single" w:sz="4" w:space="0" w:color="auto"/>
              <w:right w:val="single" w:sz="4" w:space="0" w:color="auto"/>
            </w:tcBorders>
            <w:vAlign w:val="bottom"/>
          </w:tcPr>
          <w:p w:rsidR="006F1295" w:rsidRPr="00DF7C10" w:rsidP="006F1295" w14:paraId="73429AD8" w14:textId="77777777">
            <w:pPr>
              <w:pStyle w:val="ParaNum"/>
              <w:keepNext/>
              <w:keepLines/>
              <w:numPr>
                <w:ilvl w:val="0"/>
                <w:numId w:val="0"/>
              </w:numPr>
              <w:jc w:val="center"/>
              <w:rPr>
                <w:rFonts w:cs="Times New Roman"/>
              </w:rPr>
            </w:pPr>
            <w:r>
              <w:rPr>
                <w:rFonts w:cs="Times New Roman"/>
              </w:rPr>
              <w:t>160</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RPr="00D965C4" w:rsidP="006F1295" w14:paraId="5D3B3685" w14:textId="77777777">
            <w:pPr>
              <w:pStyle w:val="ParaNum"/>
              <w:keepNext/>
              <w:keepLines/>
              <w:numPr>
                <w:ilvl w:val="0"/>
                <w:numId w:val="0"/>
              </w:numPr>
              <w:jc w:val="center"/>
              <w:rPr>
                <w:rFonts w:cs="Times New Roman"/>
              </w:rPr>
            </w:pPr>
            <w:r>
              <w:rPr>
                <w:rFonts w:cs="Times New Roman"/>
              </w:rPr>
              <w:t>1.2</w:t>
            </w:r>
            <w:r w:rsidRPr="00D55BAA">
              <w:rPr>
                <w:rFonts w:cs="Times New Roman"/>
              </w:rPr>
              <w:t>%</w:t>
            </w:r>
          </w:p>
        </w:tc>
      </w:tr>
      <w:tr w14:paraId="17446CA2" w14:textId="77777777" w:rsidTr="00085542">
        <w:tblPrEx>
          <w:tblW w:w="8573" w:type="dxa"/>
          <w:tblInd w:w="93" w:type="dxa"/>
          <w:tblLayout w:type="fixed"/>
          <w:tblLook w:val="0000"/>
        </w:tblPrEx>
        <w:trPr>
          <w:trHeight w:val="172"/>
        </w:trPr>
        <w:tc>
          <w:tcPr>
            <w:tcW w:w="2692" w:type="dxa"/>
            <w:tcBorders>
              <w:left w:val="single" w:sz="4" w:space="0" w:color="auto"/>
              <w:bottom w:val="single" w:sz="4" w:space="0" w:color="auto"/>
              <w:right w:val="single" w:sz="4" w:space="0" w:color="auto"/>
            </w:tcBorders>
            <w:vAlign w:val="bottom"/>
          </w:tcPr>
          <w:p w:rsidR="006F1295" w:rsidP="006F1295" w14:paraId="0A5143D3" w14:textId="77777777">
            <w:pPr>
              <w:pStyle w:val="ParaNum"/>
              <w:keepNext/>
              <w:keepLines/>
              <w:numPr>
                <w:ilvl w:val="0"/>
                <w:numId w:val="0"/>
              </w:numPr>
              <w:jc w:val="right"/>
              <w:rPr>
                <w:rFonts w:cs="Times New Roman"/>
              </w:rPr>
            </w:pPr>
            <w:r>
              <w:rPr>
                <w:rFonts w:cs="Times New Roman"/>
              </w:rPr>
              <w:t xml:space="preserve">IPAWS </w:t>
            </w:r>
            <w:r w:rsidR="00E87BBA">
              <w:rPr>
                <w:rFonts w:cs="Times New Roman"/>
              </w:rPr>
              <w:t>a</w:t>
            </w:r>
            <w:r>
              <w:rPr>
                <w:rFonts w:cs="Times New Roman"/>
              </w:rPr>
              <w:t>ccess error</w:t>
            </w:r>
          </w:p>
        </w:tc>
        <w:tc>
          <w:tcPr>
            <w:tcW w:w="3073" w:type="dxa"/>
            <w:tcBorders>
              <w:top w:val="nil"/>
              <w:left w:val="single" w:sz="4" w:space="0" w:color="auto"/>
              <w:bottom w:val="single" w:sz="4" w:space="0" w:color="auto"/>
              <w:right w:val="single" w:sz="4" w:space="0" w:color="auto"/>
            </w:tcBorders>
            <w:vAlign w:val="bottom"/>
          </w:tcPr>
          <w:p w:rsidR="006F1295" w:rsidP="006F1295" w14:paraId="6AA3ABF9" w14:textId="77777777">
            <w:pPr>
              <w:pStyle w:val="ParaNum"/>
              <w:keepNext/>
              <w:keepLines/>
              <w:numPr>
                <w:ilvl w:val="0"/>
                <w:numId w:val="0"/>
              </w:numPr>
              <w:jc w:val="center"/>
              <w:rPr>
                <w:rFonts w:cs="Times New Roman"/>
              </w:rPr>
            </w:pPr>
            <w:r>
              <w:rPr>
                <w:rFonts w:cs="Times New Roman"/>
              </w:rPr>
              <w:t>80</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P="006F1295" w14:paraId="240963BF" w14:textId="77777777">
            <w:pPr>
              <w:pStyle w:val="ParaNum"/>
              <w:keepNext/>
              <w:keepLines/>
              <w:numPr>
                <w:ilvl w:val="0"/>
                <w:numId w:val="0"/>
              </w:numPr>
              <w:jc w:val="center"/>
              <w:rPr>
                <w:rFonts w:cs="Times New Roman"/>
              </w:rPr>
            </w:pPr>
            <w:r w:rsidRPr="00D55BAA">
              <w:rPr>
                <w:rFonts w:cs="Times New Roman"/>
              </w:rPr>
              <w:t>0.</w:t>
            </w:r>
            <w:r>
              <w:rPr>
                <w:rFonts w:cs="Times New Roman"/>
              </w:rPr>
              <w:t>5</w:t>
            </w:r>
            <w:r w:rsidRPr="00D55BAA">
              <w:rPr>
                <w:rFonts w:cs="Times New Roman"/>
              </w:rPr>
              <w:t>%</w:t>
            </w:r>
          </w:p>
        </w:tc>
      </w:tr>
      <w:tr w14:paraId="7E72E256" w14:textId="77777777" w:rsidTr="00085542">
        <w:tblPrEx>
          <w:tblW w:w="8573" w:type="dxa"/>
          <w:tblInd w:w="93" w:type="dxa"/>
          <w:tblLayout w:type="fixed"/>
          <w:tblLook w:val="0000"/>
        </w:tblPrEx>
        <w:trPr>
          <w:trHeight w:val="172"/>
        </w:trPr>
        <w:tc>
          <w:tcPr>
            <w:tcW w:w="2692" w:type="dxa"/>
            <w:tcBorders>
              <w:top w:val="nil"/>
              <w:left w:val="single" w:sz="4" w:space="0" w:color="auto"/>
              <w:bottom w:val="single" w:sz="4" w:space="0" w:color="auto"/>
              <w:right w:val="single" w:sz="4" w:space="0" w:color="auto"/>
            </w:tcBorders>
            <w:vAlign w:val="bottom"/>
          </w:tcPr>
          <w:p w:rsidR="006F1295" w:rsidRPr="00E23F3C" w:rsidP="006F1295" w14:paraId="370838F3" w14:textId="77777777">
            <w:pPr>
              <w:pStyle w:val="ParaNum"/>
              <w:keepNext/>
              <w:keepLines/>
              <w:numPr>
                <w:ilvl w:val="0"/>
                <w:numId w:val="0"/>
              </w:numPr>
              <w:jc w:val="right"/>
              <w:rPr>
                <w:rFonts w:cs="Times New Roman"/>
              </w:rPr>
            </w:pPr>
            <w:r w:rsidRPr="00785A17">
              <w:rPr>
                <w:rFonts w:cs="Times New Roman"/>
              </w:rPr>
              <w:t>Audio quality (incorporates no audio)</w:t>
            </w:r>
          </w:p>
        </w:tc>
        <w:tc>
          <w:tcPr>
            <w:tcW w:w="3073" w:type="dxa"/>
            <w:tcBorders>
              <w:top w:val="nil"/>
              <w:left w:val="single" w:sz="4" w:space="0" w:color="auto"/>
              <w:bottom w:val="single" w:sz="4" w:space="0" w:color="auto"/>
              <w:right w:val="single" w:sz="4" w:space="0" w:color="auto"/>
            </w:tcBorders>
            <w:vAlign w:val="bottom"/>
          </w:tcPr>
          <w:p w:rsidR="006F1295" w:rsidRPr="00D55BAA" w:rsidP="006F1295" w14:paraId="517DA1A9" w14:textId="77777777">
            <w:pPr>
              <w:pStyle w:val="ParaNum"/>
              <w:keepNext/>
              <w:keepLines/>
              <w:numPr>
                <w:ilvl w:val="0"/>
                <w:numId w:val="0"/>
              </w:numPr>
              <w:jc w:val="center"/>
              <w:rPr>
                <w:rFonts w:cs="Times New Roman"/>
              </w:rPr>
            </w:pPr>
            <w:r>
              <w:rPr>
                <w:rFonts w:cs="Times New Roman"/>
              </w:rPr>
              <w:t>68</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RPr="00C01B45" w:rsidP="006F1295" w14:paraId="5BAFB300" w14:textId="77777777">
            <w:pPr>
              <w:pStyle w:val="ParaNum"/>
              <w:keepNext/>
              <w:keepLines/>
              <w:numPr>
                <w:ilvl w:val="0"/>
                <w:numId w:val="0"/>
              </w:numPr>
              <w:jc w:val="center"/>
              <w:rPr>
                <w:rFonts w:cs="Times New Roman"/>
              </w:rPr>
            </w:pPr>
            <w:r>
              <w:rPr>
                <w:rFonts w:cs="Times New Roman"/>
              </w:rPr>
              <w:t>0.4</w:t>
            </w:r>
            <w:r w:rsidRPr="00C01B45">
              <w:rPr>
                <w:rFonts w:cs="Times New Roman"/>
              </w:rPr>
              <w:t>%</w:t>
            </w:r>
          </w:p>
        </w:tc>
      </w:tr>
      <w:tr w14:paraId="2412068A" w14:textId="77777777" w:rsidTr="00085542">
        <w:tblPrEx>
          <w:tblW w:w="8573" w:type="dxa"/>
          <w:tblInd w:w="93" w:type="dxa"/>
          <w:tblLayout w:type="fixed"/>
          <w:tblLook w:val="0000"/>
        </w:tblPrEx>
        <w:trPr>
          <w:trHeight w:val="172"/>
        </w:trPr>
        <w:tc>
          <w:tcPr>
            <w:tcW w:w="2692" w:type="dxa"/>
            <w:tcBorders>
              <w:top w:val="nil"/>
              <w:left w:val="single" w:sz="4" w:space="0" w:color="auto"/>
              <w:bottom w:val="single" w:sz="4" w:space="0" w:color="auto"/>
              <w:right w:val="single" w:sz="4" w:space="0" w:color="auto"/>
            </w:tcBorders>
            <w:vAlign w:val="bottom"/>
          </w:tcPr>
          <w:p w:rsidR="006F1295" w:rsidRPr="00785A17" w:rsidP="006F1295" w14:paraId="1861E732" w14:textId="77777777">
            <w:pPr>
              <w:pStyle w:val="ParaNum"/>
              <w:keepNext/>
              <w:keepLines/>
              <w:numPr>
                <w:ilvl w:val="0"/>
                <w:numId w:val="0"/>
              </w:numPr>
              <w:jc w:val="right"/>
              <w:rPr>
                <w:rFonts w:cs="Times New Roman"/>
              </w:rPr>
            </w:pPr>
            <w:r>
              <w:rPr>
                <w:rFonts w:cs="Times New Roman"/>
              </w:rPr>
              <w:t>Power and/or Internet outage</w:t>
            </w:r>
          </w:p>
        </w:tc>
        <w:tc>
          <w:tcPr>
            <w:tcW w:w="3073" w:type="dxa"/>
            <w:tcBorders>
              <w:top w:val="nil"/>
              <w:left w:val="single" w:sz="4" w:space="0" w:color="auto"/>
              <w:bottom w:val="single" w:sz="4" w:space="0" w:color="auto"/>
              <w:right w:val="single" w:sz="4" w:space="0" w:color="auto"/>
            </w:tcBorders>
            <w:vAlign w:val="bottom"/>
          </w:tcPr>
          <w:p w:rsidR="006F1295" w:rsidP="006F1295" w14:paraId="7EEF16A4" w14:textId="77777777">
            <w:pPr>
              <w:pStyle w:val="ParaNum"/>
              <w:keepNext/>
              <w:keepLines/>
              <w:numPr>
                <w:ilvl w:val="0"/>
                <w:numId w:val="0"/>
              </w:numPr>
              <w:jc w:val="center"/>
              <w:rPr>
                <w:rFonts w:cs="Times New Roman"/>
              </w:rPr>
            </w:pPr>
            <w:r>
              <w:rPr>
                <w:rFonts w:cs="Times New Roman"/>
              </w:rPr>
              <w:t>57</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P="006F1295" w14:paraId="35449B99" w14:textId="77777777">
            <w:pPr>
              <w:pStyle w:val="ParaNum"/>
              <w:keepNext/>
              <w:keepLines/>
              <w:numPr>
                <w:ilvl w:val="0"/>
                <w:numId w:val="0"/>
              </w:numPr>
              <w:jc w:val="center"/>
              <w:rPr>
                <w:rFonts w:cs="Times New Roman"/>
              </w:rPr>
            </w:pPr>
            <w:r>
              <w:rPr>
                <w:rFonts w:cs="Times New Roman"/>
              </w:rPr>
              <w:t>0.3%</w:t>
            </w:r>
          </w:p>
        </w:tc>
      </w:tr>
      <w:tr w14:paraId="006BB6A6" w14:textId="77777777" w:rsidTr="00085542">
        <w:tblPrEx>
          <w:tblW w:w="8573" w:type="dxa"/>
          <w:tblInd w:w="93" w:type="dxa"/>
          <w:tblLayout w:type="fixed"/>
          <w:tblLook w:val="0000"/>
        </w:tblPrEx>
        <w:trPr>
          <w:trHeight w:val="172"/>
        </w:trPr>
        <w:tc>
          <w:tcPr>
            <w:tcW w:w="2692" w:type="dxa"/>
            <w:tcBorders>
              <w:top w:val="nil"/>
              <w:left w:val="single" w:sz="4" w:space="0" w:color="auto"/>
              <w:bottom w:val="single" w:sz="4" w:space="0" w:color="auto"/>
              <w:right w:val="single" w:sz="4" w:space="0" w:color="auto"/>
            </w:tcBorders>
            <w:vAlign w:val="bottom"/>
          </w:tcPr>
          <w:p w:rsidR="006F1295" w:rsidRPr="00C32047" w:rsidP="006F1295" w14:paraId="62919A52" w14:textId="77777777">
            <w:pPr>
              <w:pStyle w:val="ParaNum"/>
              <w:keepNext/>
              <w:keepLines/>
              <w:numPr>
                <w:ilvl w:val="0"/>
                <w:numId w:val="0"/>
              </w:numPr>
              <w:jc w:val="right"/>
              <w:rPr>
                <w:rFonts w:cs="Times New Roman"/>
              </w:rPr>
            </w:pPr>
            <w:r>
              <w:rPr>
                <w:rFonts w:cs="Times New Roman"/>
              </w:rPr>
              <w:t>System c</w:t>
            </w:r>
            <w:r w:rsidRPr="00785A17">
              <w:rPr>
                <w:rFonts w:cs="Times New Roman"/>
              </w:rPr>
              <w:t>lock error</w:t>
            </w:r>
            <w:r>
              <w:rPr>
                <w:rStyle w:val="FootnoteReference"/>
              </w:rPr>
              <w:footnoteReference w:id="88"/>
            </w:r>
          </w:p>
        </w:tc>
        <w:tc>
          <w:tcPr>
            <w:tcW w:w="3073" w:type="dxa"/>
            <w:tcBorders>
              <w:top w:val="single" w:sz="4" w:space="0" w:color="auto"/>
              <w:left w:val="single" w:sz="4" w:space="0" w:color="auto"/>
              <w:bottom w:val="single" w:sz="4" w:space="0" w:color="auto"/>
              <w:right w:val="single" w:sz="4" w:space="0" w:color="auto"/>
            </w:tcBorders>
            <w:vAlign w:val="bottom"/>
          </w:tcPr>
          <w:p w:rsidR="006F1295" w:rsidRPr="00DF7C10" w:rsidP="006F1295" w14:paraId="06DA32DB" w14:textId="77777777">
            <w:pPr>
              <w:pStyle w:val="ParaNum"/>
              <w:keepNext/>
              <w:keepLines/>
              <w:numPr>
                <w:ilvl w:val="0"/>
                <w:numId w:val="0"/>
              </w:numPr>
              <w:jc w:val="center"/>
              <w:rPr>
                <w:rFonts w:cs="Times New Roman"/>
              </w:rPr>
            </w:pPr>
            <w:r>
              <w:rPr>
                <w:rFonts w:cs="Times New Roman"/>
              </w:rPr>
              <w:t>54</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RPr="00D034E5" w:rsidP="006F1295" w14:paraId="7BDDA0B8" w14:textId="77777777">
            <w:pPr>
              <w:pStyle w:val="ParaNum"/>
              <w:keepNext/>
              <w:keepLines/>
              <w:numPr>
                <w:ilvl w:val="0"/>
                <w:numId w:val="0"/>
              </w:numPr>
              <w:jc w:val="center"/>
              <w:rPr>
                <w:rFonts w:cs="Times New Roman"/>
              </w:rPr>
            </w:pPr>
            <w:r w:rsidRPr="00D55BAA">
              <w:rPr>
                <w:rFonts w:cs="Times New Roman"/>
              </w:rPr>
              <w:t>0</w:t>
            </w:r>
            <w:r w:rsidRPr="00D965C4">
              <w:rPr>
                <w:rFonts w:cs="Times New Roman"/>
              </w:rPr>
              <w:t>.</w:t>
            </w:r>
            <w:r>
              <w:rPr>
                <w:rFonts w:cs="Times New Roman"/>
              </w:rPr>
              <w:t>3</w:t>
            </w:r>
            <w:r w:rsidRPr="00D965C4">
              <w:rPr>
                <w:rFonts w:cs="Times New Roman"/>
              </w:rPr>
              <w:t>%</w:t>
            </w:r>
          </w:p>
        </w:tc>
      </w:tr>
      <w:tr w14:paraId="17F7CDA0" w14:textId="77777777" w:rsidTr="00085542">
        <w:tblPrEx>
          <w:tblW w:w="8573" w:type="dxa"/>
          <w:tblInd w:w="93" w:type="dxa"/>
          <w:tblLayout w:type="fixed"/>
          <w:tblLook w:val="0000"/>
        </w:tblPrEx>
        <w:trPr>
          <w:trHeight w:val="172"/>
        </w:trPr>
        <w:tc>
          <w:tcPr>
            <w:tcW w:w="2692" w:type="dxa"/>
            <w:tcBorders>
              <w:top w:val="nil"/>
              <w:left w:val="single" w:sz="4" w:space="0" w:color="auto"/>
              <w:bottom w:val="single" w:sz="4" w:space="0" w:color="auto"/>
              <w:right w:val="single" w:sz="4" w:space="0" w:color="auto"/>
            </w:tcBorders>
            <w:vAlign w:val="bottom"/>
          </w:tcPr>
          <w:p w:rsidR="006F1295" w:rsidP="006F1295" w14:paraId="3F4A9EE6" w14:textId="77777777">
            <w:pPr>
              <w:pStyle w:val="ParaNum"/>
              <w:keepNext/>
              <w:keepLines/>
              <w:numPr>
                <w:ilvl w:val="0"/>
                <w:numId w:val="0"/>
              </w:numPr>
              <w:jc w:val="right"/>
              <w:rPr>
                <w:rFonts w:cs="Times New Roman"/>
              </w:rPr>
            </w:pPr>
            <w:r w:rsidRPr="00785A17">
              <w:rPr>
                <w:rFonts w:cs="Times New Roman"/>
              </w:rPr>
              <w:t>Equipment struck by lightning</w:t>
            </w:r>
          </w:p>
        </w:tc>
        <w:tc>
          <w:tcPr>
            <w:tcW w:w="3073" w:type="dxa"/>
            <w:tcBorders>
              <w:top w:val="single" w:sz="4" w:space="0" w:color="auto"/>
              <w:left w:val="single" w:sz="4" w:space="0" w:color="auto"/>
              <w:bottom w:val="single" w:sz="4" w:space="0" w:color="auto"/>
              <w:right w:val="single" w:sz="4" w:space="0" w:color="auto"/>
            </w:tcBorders>
            <w:vAlign w:val="bottom"/>
          </w:tcPr>
          <w:p w:rsidR="006F1295" w:rsidP="006F1295" w14:paraId="2CBEB7EC" w14:textId="77777777">
            <w:pPr>
              <w:pStyle w:val="ParaNum"/>
              <w:keepNext/>
              <w:keepLines/>
              <w:numPr>
                <w:ilvl w:val="0"/>
                <w:numId w:val="0"/>
              </w:numPr>
              <w:jc w:val="center"/>
              <w:rPr>
                <w:rFonts w:cs="Times New Roman"/>
              </w:rPr>
            </w:pPr>
            <w:r>
              <w:rPr>
                <w:rFonts w:cs="Times New Roman"/>
              </w:rPr>
              <w:t>25</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RPr="00D55BAA" w:rsidP="006F1295" w14:paraId="2BA299EC" w14:textId="77777777">
            <w:pPr>
              <w:pStyle w:val="ParaNum"/>
              <w:keepNext/>
              <w:keepLines/>
              <w:numPr>
                <w:ilvl w:val="0"/>
                <w:numId w:val="0"/>
              </w:numPr>
              <w:jc w:val="center"/>
              <w:rPr>
                <w:rFonts w:cs="Times New Roman"/>
              </w:rPr>
            </w:pPr>
            <w:r w:rsidRPr="00D55BAA">
              <w:rPr>
                <w:rFonts w:cs="Times New Roman"/>
              </w:rPr>
              <w:t>0.01%</w:t>
            </w:r>
          </w:p>
        </w:tc>
      </w:tr>
      <w:tr w14:paraId="659D3EE0" w14:textId="77777777" w:rsidTr="00085542">
        <w:tblPrEx>
          <w:tblW w:w="8573" w:type="dxa"/>
          <w:tblInd w:w="93" w:type="dxa"/>
          <w:tblLayout w:type="fixed"/>
          <w:tblLook w:val="0000"/>
        </w:tblPrEx>
        <w:trPr>
          <w:trHeight w:val="172"/>
        </w:trPr>
        <w:tc>
          <w:tcPr>
            <w:tcW w:w="2692" w:type="dxa"/>
            <w:tcBorders>
              <w:top w:val="single" w:sz="4" w:space="0" w:color="auto"/>
              <w:left w:val="single" w:sz="4" w:space="0" w:color="auto"/>
              <w:bottom w:val="single" w:sz="4" w:space="0" w:color="auto"/>
              <w:right w:val="single" w:sz="4" w:space="0" w:color="auto"/>
            </w:tcBorders>
            <w:vAlign w:val="bottom"/>
          </w:tcPr>
          <w:p w:rsidR="006F1295" w:rsidRPr="00C32047" w:rsidP="006F1295" w14:paraId="18983344" w14:textId="77777777">
            <w:pPr>
              <w:pStyle w:val="ParaNum"/>
              <w:keepNext/>
              <w:keepLines/>
              <w:numPr>
                <w:ilvl w:val="0"/>
                <w:numId w:val="0"/>
              </w:numPr>
              <w:jc w:val="right"/>
              <w:rPr>
                <w:rFonts w:cs="Times New Roman"/>
              </w:rPr>
            </w:pPr>
            <w:r w:rsidRPr="00785A17">
              <w:rPr>
                <w:rFonts w:cs="Times New Roman"/>
              </w:rPr>
              <w:t>User error</w:t>
            </w:r>
          </w:p>
        </w:tc>
        <w:tc>
          <w:tcPr>
            <w:tcW w:w="3073" w:type="dxa"/>
            <w:tcBorders>
              <w:top w:val="single" w:sz="4" w:space="0" w:color="auto"/>
              <w:left w:val="single" w:sz="4" w:space="0" w:color="auto"/>
              <w:bottom w:val="single" w:sz="4" w:space="0" w:color="auto"/>
              <w:right w:val="single" w:sz="4" w:space="0" w:color="auto"/>
            </w:tcBorders>
            <w:vAlign w:val="bottom"/>
          </w:tcPr>
          <w:p w:rsidR="006F1295" w:rsidRPr="00DF7C10" w:rsidP="006F1295" w14:paraId="21F37DC3" w14:textId="77777777">
            <w:pPr>
              <w:pStyle w:val="ParaNum"/>
              <w:keepNext/>
              <w:keepLines/>
              <w:numPr>
                <w:ilvl w:val="0"/>
                <w:numId w:val="0"/>
              </w:numPr>
              <w:jc w:val="center"/>
              <w:rPr>
                <w:rFonts w:cs="Times New Roman"/>
              </w:rPr>
            </w:pPr>
            <w:r>
              <w:rPr>
                <w:rFonts w:cs="Times New Roman"/>
              </w:rPr>
              <w:t>10</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RPr="00D965C4" w:rsidP="006F1295" w14:paraId="152C7550" w14:textId="77777777">
            <w:pPr>
              <w:pStyle w:val="ParaNum"/>
              <w:keepNext/>
              <w:keepLines/>
              <w:numPr>
                <w:ilvl w:val="0"/>
                <w:numId w:val="0"/>
              </w:numPr>
              <w:jc w:val="center"/>
              <w:rPr>
                <w:rFonts w:cs="Times New Roman"/>
              </w:rPr>
            </w:pPr>
            <w:r w:rsidRPr="00D55BAA">
              <w:rPr>
                <w:rFonts w:cs="Times New Roman"/>
              </w:rPr>
              <w:t>0.</w:t>
            </w:r>
            <w:r>
              <w:rPr>
                <w:rFonts w:cs="Times New Roman"/>
              </w:rPr>
              <w:t>06</w:t>
            </w:r>
            <w:r w:rsidRPr="00D55BAA">
              <w:rPr>
                <w:rFonts w:cs="Times New Roman"/>
              </w:rPr>
              <w:t>%</w:t>
            </w:r>
          </w:p>
        </w:tc>
      </w:tr>
      <w:tr w14:paraId="56AE060B" w14:textId="77777777" w:rsidTr="00085542">
        <w:tblPrEx>
          <w:tblW w:w="8573" w:type="dxa"/>
          <w:tblInd w:w="93" w:type="dxa"/>
          <w:tblLayout w:type="fixed"/>
          <w:tblLook w:val="0000"/>
        </w:tblPrEx>
        <w:trPr>
          <w:trHeight w:val="172"/>
        </w:trPr>
        <w:tc>
          <w:tcPr>
            <w:tcW w:w="2692" w:type="dxa"/>
            <w:tcBorders>
              <w:top w:val="nil"/>
              <w:left w:val="single" w:sz="4" w:space="0" w:color="auto"/>
              <w:bottom w:val="single" w:sz="4" w:space="0" w:color="auto"/>
              <w:right w:val="single" w:sz="4" w:space="0" w:color="auto"/>
            </w:tcBorders>
            <w:vAlign w:val="bottom"/>
          </w:tcPr>
          <w:p w:rsidR="006F1295" w:rsidRPr="00C32047" w:rsidP="006F1295" w14:paraId="5C81F5C9" w14:textId="77777777">
            <w:pPr>
              <w:pStyle w:val="ParaNum"/>
              <w:keepNext/>
              <w:keepLines/>
              <w:numPr>
                <w:ilvl w:val="0"/>
                <w:numId w:val="0"/>
              </w:numPr>
              <w:jc w:val="right"/>
              <w:rPr>
                <w:rFonts w:cs="Times New Roman"/>
              </w:rPr>
            </w:pPr>
            <w:r w:rsidRPr="00785A17">
              <w:rPr>
                <w:rFonts w:cs="Times New Roman"/>
              </w:rPr>
              <w:t>Force Tuning Retransmission Issue</w:t>
            </w:r>
          </w:p>
        </w:tc>
        <w:tc>
          <w:tcPr>
            <w:tcW w:w="3073" w:type="dxa"/>
            <w:tcBorders>
              <w:top w:val="nil"/>
              <w:left w:val="single" w:sz="4" w:space="0" w:color="auto"/>
              <w:bottom w:val="single" w:sz="4" w:space="0" w:color="auto"/>
              <w:right w:val="single" w:sz="4" w:space="0" w:color="auto"/>
            </w:tcBorders>
            <w:vAlign w:val="bottom"/>
          </w:tcPr>
          <w:p w:rsidR="006F1295" w:rsidRPr="00DF7C10" w:rsidP="006F1295" w14:paraId="00BEF4C5" w14:textId="77777777">
            <w:pPr>
              <w:pStyle w:val="ParaNum"/>
              <w:keepNext/>
              <w:keepLines/>
              <w:numPr>
                <w:ilvl w:val="0"/>
                <w:numId w:val="0"/>
              </w:numPr>
              <w:jc w:val="center"/>
              <w:rPr>
                <w:rFonts w:cs="Times New Roman"/>
              </w:rPr>
            </w:pPr>
            <w:r>
              <w:rPr>
                <w:rFonts w:cs="Times New Roman"/>
              </w:rPr>
              <w:t>9</w:t>
            </w:r>
          </w:p>
        </w:tc>
        <w:tc>
          <w:tcPr>
            <w:tcW w:w="2808" w:type="dxa"/>
            <w:tcBorders>
              <w:top w:val="single" w:sz="4" w:space="0" w:color="auto"/>
              <w:left w:val="nil"/>
              <w:bottom w:val="single" w:sz="4" w:space="0" w:color="auto"/>
              <w:right w:val="single" w:sz="4" w:space="0" w:color="auto"/>
            </w:tcBorders>
            <w:shd w:val="clear" w:color="auto" w:fill="auto"/>
            <w:vAlign w:val="bottom"/>
          </w:tcPr>
          <w:p w:rsidR="006F1295" w:rsidRPr="00D965C4" w:rsidP="006F1295" w14:paraId="38C0C763" w14:textId="77777777">
            <w:pPr>
              <w:pStyle w:val="ParaNum"/>
              <w:keepNext/>
              <w:keepLines/>
              <w:numPr>
                <w:ilvl w:val="0"/>
                <w:numId w:val="0"/>
              </w:numPr>
              <w:jc w:val="center"/>
              <w:rPr>
                <w:rFonts w:cs="Times New Roman"/>
              </w:rPr>
            </w:pPr>
            <w:r w:rsidRPr="00D55BAA">
              <w:rPr>
                <w:rFonts w:cs="Times New Roman"/>
              </w:rPr>
              <w:t>0.0</w:t>
            </w:r>
            <w:r>
              <w:rPr>
                <w:rFonts w:cs="Times New Roman"/>
              </w:rPr>
              <w:t>5</w:t>
            </w:r>
            <w:r w:rsidRPr="00D55BAA">
              <w:rPr>
                <w:rFonts w:cs="Times New Roman"/>
              </w:rPr>
              <w:t>%</w:t>
            </w:r>
          </w:p>
        </w:tc>
      </w:tr>
    </w:tbl>
    <w:p w:rsidR="00343A2C" w:rsidRPr="00B57342" w:rsidP="00085542" w14:paraId="6D2ABA92" w14:textId="77777777">
      <w:pPr>
        <w:pStyle w:val="ParaNum"/>
        <w:keepNext/>
        <w:keepLines/>
        <w:numPr>
          <w:ilvl w:val="0"/>
          <w:numId w:val="0"/>
        </w:numPr>
        <w:rPr>
          <w:rFonts w:cs="Times New Roman"/>
          <w:szCs w:val="22"/>
        </w:rPr>
      </w:pPr>
    </w:p>
    <w:p w:rsidR="00343A2C" w:rsidRPr="00B57342" w:rsidP="00295D2D" w14:paraId="1B44666E" w14:textId="77777777">
      <w:pPr>
        <w:pStyle w:val="Heading3"/>
      </w:pPr>
      <w:bookmarkStart w:id="352" w:name="_Toc477433284"/>
      <w:bookmarkStart w:id="353" w:name="_Toc479002027"/>
      <w:bookmarkStart w:id="354" w:name="_Toc477433483"/>
      <w:bookmarkStart w:id="355" w:name="_Toc507169937"/>
      <w:bookmarkStart w:id="356" w:name="_Toc507170373"/>
      <w:bookmarkStart w:id="357" w:name="_Toc507170719"/>
      <w:bookmarkStart w:id="358" w:name="_Toc507171315"/>
      <w:bookmarkStart w:id="359" w:name="_Toc507171678"/>
      <w:bookmarkStart w:id="360" w:name="_Toc507772338"/>
      <w:bookmarkStart w:id="361" w:name="_Toc507772725"/>
      <w:bookmarkStart w:id="362" w:name="_Toc508315411"/>
      <w:bookmarkStart w:id="363" w:name="_Toc508315996"/>
      <w:bookmarkStart w:id="364" w:name="_Toc511291568"/>
      <w:bookmarkStart w:id="365" w:name="_Toc511292360"/>
      <w:bookmarkStart w:id="366" w:name="_Toc5614046"/>
      <w:r w:rsidRPr="00B57342">
        <w:t xml:space="preserve">Equipment </w:t>
      </w:r>
      <w:bookmarkEnd w:id="352"/>
      <w:bookmarkEnd w:id="353"/>
      <w:bookmarkEnd w:id="354"/>
      <w:bookmarkEnd w:id="355"/>
      <w:bookmarkEnd w:id="356"/>
      <w:bookmarkEnd w:id="357"/>
      <w:bookmarkEnd w:id="358"/>
      <w:bookmarkEnd w:id="359"/>
      <w:bookmarkEnd w:id="360"/>
      <w:bookmarkEnd w:id="361"/>
      <w:r w:rsidR="00ED6CBF">
        <w:t>Performance Issues</w:t>
      </w:r>
      <w:bookmarkEnd w:id="362"/>
      <w:bookmarkEnd w:id="363"/>
      <w:bookmarkEnd w:id="364"/>
      <w:bookmarkEnd w:id="365"/>
      <w:bookmarkEnd w:id="366"/>
    </w:p>
    <w:p w:rsidR="00024E13" w:rsidRPr="0063239E" w:rsidP="00024E13" w14:paraId="2A1A5950" w14:textId="5691928E">
      <w:pPr>
        <w:pStyle w:val="ParaNum"/>
        <w:numPr>
          <w:ilvl w:val="0"/>
          <w:numId w:val="0"/>
        </w:numPr>
        <w:rPr>
          <w:rFonts w:cs="Times New Roman"/>
        </w:rPr>
      </w:pPr>
      <w:r w:rsidRPr="0055001B">
        <w:rPr>
          <w:rFonts w:cs="Times New Roman"/>
        </w:rPr>
        <w:t>The</w:t>
      </w:r>
      <w:r w:rsidR="0072461E">
        <w:rPr>
          <w:rFonts w:cs="Times New Roman"/>
        </w:rPr>
        <w:t>re were</w:t>
      </w:r>
      <w:r w:rsidRPr="0055001B">
        <w:rPr>
          <w:rFonts w:cs="Times New Roman"/>
        </w:rPr>
        <w:t xml:space="preserve"> </w:t>
      </w:r>
      <w:r w:rsidR="00CB267D">
        <w:rPr>
          <w:rFonts w:cs="Times New Roman"/>
        </w:rPr>
        <w:t>50</w:t>
      </w:r>
      <w:r w:rsidR="00521FA1">
        <w:rPr>
          <w:rFonts w:cs="Times New Roman"/>
        </w:rPr>
        <w:t>4</w:t>
      </w:r>
      <w:r w:rsidRPr="0055001B">
        <w:rPr>
          <w:rFonts w:cs="Times New Roman"/>
        </w:rPr>
        <w:t xml:space="preserve"> </w:t>
      </w:r>
      <w:r w:rsidR="0055001B">
        <w:rPr>
          <w:rFonts w:cs="Times New Roman"/>
        </w:rPr>
        <w:t xml:space="preserve">test participants </w:t>
      </w:r>
      <w:r w:rsidR="0072461E">
        <w:rPr>
          <w:rFonts w:cs="Times New Roman"/>
        </w:rPr>
        <w:t xml:space="preserve">that </w:t>
      </w:r>
      <w:r w:rsidR="0055001B">
        <w:rPr>
          <w:rFonts w:cs="Times New Roman"/>
        </w:rPr>
        <w:t xml:space="preserve">reported </w:t>
      </w:r>
      <w:r w:rsidRPr="0055001B">
        <w:rPr>
          <w:rFonts w:cs="Times New Roman"/>
        </w:rPr>
        <w:t xml:space="preserve">equipment </w:t>
      </w:r>
      <w:r w:rsidR="00ED6CBF">
        <w:rPr>
          <w:rFonts w:cs="Times New Roman"/>
        </w:rPr>
        <w:t>performance issues</w:t>
      </w:r>
      <w:r w:rsidRPr="0055001B" w:rsidR="00ED6CBF">
        <w:rPr>
          <w:rFonts w:cs="Times New Roman"/>
        </w:rPr>
        <w:t xml:space="preserve"> </w:t>
      </w:r>
      <w:r w:rsidR="0072461E">
        <w:rPr>
          <w:rFonts w:cs="Times New Roman"/>
        </w:rPr>
        <w:t>involving</w:t>
      </w:r>
      <w:r w:rsidRPr="0055001B" w:rsidR="0063239E">
        <w:rPr>
          <w:rFonts w:cs="Times New Roman"/>
        </w:rPr>
        <w:t xml:space="preserve"> </w:t>
      </w:r>
      <w:r w:rsidRPr="0055001B">
        <w:rPr>
          <w:rFonts w:cs="Times New Roman"/>
        </w:rPr>
        <w:t>antenna, reception</w:t>
      </w:r>
      <w:r w:rsidR="008E75C7">
        <w:rPr>
          <w:rFonts w:cs="Times New Roman"/>
        </w:rPr>
        <w:t>,</w:t>
      </w:r>
      <w:r w:rsidRPr="0055001B">
        <w:rPr>
          <w:rFonts w:cs="Times New Roman"/>
        </w:rPr>
        <w:t xml:space="preserve"> and </w:t>
      </w:r>
      <w:r w:rsidR="00CB267D">
        <w:rPr>
          <w:rFonts w:cs="Times New Roman"/>
        </w:rPr>
        <w:t>hardware</w:t>
      </w:r>
      <w:r w:rsidRPr="0055001B">
        <w:rPr>
          <w:rFonts w:cs="Times New Roman"/>
        </w:rPr>
        <w:t xml:space="preserve"> issues.</w:t>
      </w:r>
      <w:r w:rsidRPr="00E23F3C">
        <w:rPr>
          <w:rFonts w:cs="Times New Roman"/>
        </w:rPr>
        <w:t xml:space="preserve">  </w:t>
      </w:r>
      <w:r w:rsidR="008679CF">
        <w:rPr>
          <w:rFonts w:cs="Times New Roman"/>
        </w:rPr>
        <w:t xml:space="preserve">Of these </w:t>
      </w:r>
      <w:r w:rsidRPr="00DF7C10" w:rsidR="00285442">
        <w:rPr>
          <w:rFonts w:cs="Times New Roman"/>
        </w:rPr>
        <w:t xml:space="preserve">explanations of equipment </w:t>
      </w:r>
      <w:r w:rsidRPr="00D55BAA">
        <w:rPr>
          <w:rFonts w:cs="Times New Roman"/>
        </w:rPr>
        <w:t>failure</w:t>
      </w:r>
      <w:r w:rsidRPr="00D965C4" w:rsidR="00285442">
        <w:rPr>
          <w:rFonts w:cs="Times New Roman"/>
        </w:rPr>
        <w:t xml:space="preserve"> issues</w:t>
      </w:r>
      <w:r w:rsidR="001300E4">
        <w:rPr>
          <w:rFonts w:cs="Times New Roman"/>
        </w:rPr>
        <w:t xml:space="preserve">, </w:t>
      </w:r>
      <w:r w:rsidR="00CB267D">
        <w:rPr>
          <w:rFonts w:cs="Times New Roman"/>
        </w:rPr>
        <w:t>14</w:t>
      </w:r>
      <w:r w:rsidR="00521FA1">
        <w:rPr>
          <w:rFonts w:cs="Times New Roman"/>
        </w:rPr>
        <w:t>4</w:t>
      </w:r>
      <w:r w:rsidRPr="00D965C4" w:rsidR="00285442">
        <w:rPr>
          <w:rFonts w:cs="Times New Roman"/>
        </w:rPr>
        <w:t xml:space="preserve"> </w:t>
      </w:r>
      <w:r w:rsidR="008679CF">
        <w:rPr>
          <w:rFonts w:cs="Times New Roman"/>
        </w:rPr>
        <w:t xml:space="preserve">were </w:t>
      </w:r>
      <w:r w:rsidRPr="00D034E5">
        <w:rPr>
          <w:rFonts w:cs="Times New Roman"/>
        </w:rPr>
        <w:t>on</w:t>
      </w:r>
      <w:r w:rsidRPr="00C01B45" w:rsidR="00285442">
        <w:rPr>
          <w:rFonts w:cs="Times New Roman"/>
        </w:rPr>
        <w:t xml:space="preserve"> alert receipt, and </w:t>
      </w:r>
      <w:r w:rsidR="00CB267D">
        <w:rPr>
          <w:rFonts w:cs="Times New Roman"/>
        </w:rPr>
        <w:t>36</w:t>
      </w:r>
      <w:r w:rsidR="00521FA1">
        <w:rPr>
          <w:rFonts w:cs="Times New Roman"/>
        </w:rPr>
        <w:t>0</w:t>
      </w:r>
      <w:r w:rsidRPr="00C01B45" w:rsidR="00285442">
        <w:rPr>
          <w:rFonts w:cs="Times New Roman"/>
        </w:rPr>
        <w:t xml:space="preserve"> on retransmission.  Of those explaining issues on receipt, </w:t>
      </w:r>
      <w:r w:rsidR="00CB267D">
        <w:rPr>
          <w:rFonts w:cs="Times New Roman"/>
        </w:rPr>
        <w:t>95</w:t>
      </w:r>
      <w:r w:rsidRPr="00262A19" w:rsidR="00343A2C">
        <w:rPr>
          <w:rFonts w:cs="Times New Roman"/>
        </w:rPr>
        <w:t xml:space="preserve"> </w:t>
      </w:r>
      <w:r w:rsidR="008679CF">
        <w:rPr>
          <w:rFonts w:cs="Times New Roman"/>
        </w:rPr>
        <w:t xml:space="preserve">were </w:t>
      </w:r>
      <w:r w:rsidRPr="00262A19" w:rsidR="00343A2C">
        <w:rPr>
          <w:rFonts w:cs="Times New Roman"/>
        </w:rPr>
        <w:t>radio broadcasters</w:t>
      </w:r>
      <w:r w:rsidRPr="003F7CA1" w:rsidR="00285442">
        <w:rPr>
          <w:rFonts w:cs="Times New Roman"/>
        </w:rPr>
        <w:t xml:space="preserve">, </w:t>
      </w:r>
      <w:r w:rsidR="00CB267D">
        <w:rPr>
          <w:rFonts w:cs="Times New Roman"/>
        </w:rPr>
        <w:t>21</w:t>
      </w:r>
      <w:r w:rsidRPr="0063239E" w:rsidR="00343A2C">
        <w:rPr>
          <w:rFonts w:cs="Times New Roman"/>
        </w:rPr>
        <w:t xml:space="preserve"> television broadcasters, </w:t>
      </w:r>
      <w:r w:rsidR="00B660F9">
        <w:rPr>
          <w:rFonts w:cs="Times New Roman"/>
        </w:rPr>
        <w:t>2</w:t>
      </w:r>
      <w:r w:rsidR="00CB267D">
        <w:rPr>
          <w:rFonts w:cs="Times New Roman"/>
        </w:rPr>
        <w:t>6</w:t>
      </w:r>
      <w:r w:rsidRPr="0063239E" w:rsidR="00343A2C">
        <w:rPr>
          <w:rFonts w:cs="Times New Roman"/>
        </w:rPr>
        <w:t xml:space="preserve"> cable providers</w:t>
      </w:r>
      <w:r w:rsidRPr="0063239E" w:rsidR="00285442">
        <w:rPr>
          <w:rFonts w:cs="Times New Roman"/>
        </w:rPr>
        <w:t xml:space="preserve">, and </w:t>
      </w:r>
      <w:r w:rsidR="003A5254">
        <w:rPr>
          <w:rFonts w:cs="Times New Roman"/>
        </w:rPr>
        <w:t>two</w:t>
      </w:r>
      <w:r w:rsidRPr="0063239E" w:rsidR="00285442">
        <w:rPr>
          <w:rFonts w:cs="Times New Roman"/>
        </w:rPr>
        <w:t xml:space="preserve"> IPTV providers</w:t>
      </w:r>
      <w:r w:rsidRPr="00C04BF5" w:rsidR="00343A2C">
        <w:rPr>
          <w:rFonts w:cs="Times New Roman"/>
        </w:rPr>
        <w:t xml:space="preserve">.  </w:t>
      </w:r>
      <w:r w:rsidRPr="0055001B" w:rsidR="008C051C">
        <w:rPr>
          <w:rFonts w:cs="Times New Roman"/>
        </w:rPr>
        <w:t>Of those explaining issues on retransmission</w:t>
      </w:r>
      <w:r w:rsidRPr="0055001B">
        <w:rPr>
          <w:rFonts w:cs="Times New Roman"/>
        </w:rPr>
        <w:t>,</w:t>
      </w:r>
      <w:r w:rsidRPr="0055001B" w:rsidR="008C051C">
        <w:rPr>
          <w:rFonts w:cs="Times New Roman"/>
        </w:rPr>
        <w:t xml:space="preserve"> there were</w:t>
      </w:r>
      <w:r w:rsidRPr="0055001B">
        <w:rPr>
          <w:rFonts w:cs="Times New Roman"/>
        </w:rPr>
        <w:t xml:space="preserve"> </w:t>
      </w:r>
      <w:r w:rsidR="000F4508">
        <w:rPr>
          <w:rFonts w:cs="Times New Roman"/>
        </w:rPr>
        <w:t>172</w:t>
      </w:r>
      <w:r w:rsidRPr="0055001B">
        <w:rPr>
          <w:rFonts w:cs="Times New Roman"/>
        </w:rPr>
        <w:t xml:space="preserve"> radio stations, </w:t>
      </w:r>
      <w:r w:rsidR="002754EC">
        <w:rPr>
          <w:rFonts w:cs="Times New Roman"/>
        </w:rPr>
        <w:t>119 cable providers, 58</w:t>
      </w:r>
      <w:r w:rsidRPr="0055001B">
        <w:rPr>
          <w:rFonts w:cs="Times New Roman"/>
        </w:rPr>
        <w:t xml:space="preserve"> television stations, </w:t>
      </w:r>
      <w:r w:rsidR="002754EC">
        <w:rPr>
          <w:rFonts w:cs="Times New Roman"/>
        </w:rPr>
        <w:t>six</w:t>
      </w:r>
      <w:r w:rsidRPr="0055001B">
        <w:rPr>
          <w:rFonts w:cs="Times New Roman"/>
        </w:rPr>
        <w:t xml:space="preserve"> IPTV providers</w:t>
      </w:r>
      <w:r w:rsidR="002754EC">
        <w:rPr>
          <w:rFonts w:cs="Times New Roman"/>
        </w:rPr>
        <w:t xml:space="preserve">, </w:t>
      </w:r>
      <w:r w:rsidR="003A5254">
        <w:rPr>
          <w:rFonts w:cs="Times New Roman"/>
        </w:rPr>
        <w:t xml:space="preserve">and </w:t>
      </w:r>
      <w:r w:rsidR="002754EC">
        <w:rPr>
          <w:rFonts w:cs="Times New Roman"/>
        </w:rPr>
        <w:t>five wireline video systems</w:t>
      </w:r>
      <w:r w:rsidRPr="0055001B">
        <w:rPr>
          <w:rFonts w:cs="Times New Roman"/>
        </w:rPr>
        <w:t>.</w:t>
      </w:r>
      <w:bookmarkStart w:id="367" w:name="_Toc477433285"/>
      <w:bookmarkStart w:id="368" w:name="_Toc479002028"/>
      <w:bookmarkStart w:id="369" w:name="_Toc477433484"/>
      <w:r w:rsidR="003A5254">
        <w:rPr>
          <w:rFonts w:cs="Times New Roman"/>
        </w:rPr>
        <w:t xml:space="preserve">  </w:t>
      </w:r>
      <w:r w:rsidRPr="0055001B" w:rsidR="002C3E15">
        <w:rPr>
          <w:rFonts w:cs="Times New Roman"/>
        </w:rPr>
        <w:t>Pa</w:t>
      </w:r>
      <w:r w:rsidRPr="0055001B">
        <w:rPr>
          <w:rFonts w:cs="Times New Roman"/>
        </w:rPr>
        <w:t xml:space="preserve">rticipants </w:t>
      </w:r>
      <w:r w:rsidRPr="0055001B" w:rsidR="002C3E15">
        <w:rPr>
          <w:rFonts w:cs="Times New Roman"/>
        </w:rPr>
        <w:t>cited</w:t>
      </w:r>
      <w:r w:rsidRPr="0055001B" w:rsidR="005F75A8">
        <w:rPr>
          <w:rFonts w:cs="Times New Roman"/>
        </w:rPr>
        <w:t xml:space="preserve"> </w:t>
      </w:r>
      <w:r w:rsidRPr="0055001B" w:rsidR="00BB7241">
        <w:rPr>
          <w:rFonts w:cs="Times New Roman"/>
        </w:rPr>
        <w:t>comb generator</w:t>
      </w:r>
      <w:r w:rsidRPr="0055001B" w:rsidR="005F75A8">
        <w:rPr>
          <w:rFonts w:cs="Times New Roman"/>
        </w:rPr>
        <w:t xml:space="preserve"> failure</w:t>
      </w:r>
      <w:r w:rsidRPr="0055001B" w:rsidR="00BB7241">
        <w:rPr>
          <w:rFonts w:cs="Times New Roman"/>
        </w:rPr>
        <w:t>,</w:t>
      </w:r>
      <w:r w:rsidRPr="0055001B" w:rsidR="005F75A8">
        <w:rPr>
          <w:rFonts w:cs="Times New Roman"/>
        </w:rPr>
        <w:t xml:space="preserve"> receiver</w:t>
      </w:r>
      <w:r w:rsidRPr="0055001B">
        <w:rPr>
          <w:rFonts w:cs="Times New Roman"/>
        </w:rPr>
        <w:t xml:space="preserve"> and</w:t>
      </w:r>
      <w:r w:rsidRPr="0055001B" w:rsidR="005F75A8">
        <w:rPr>
          <w:rFonts w:cs="Times New Roman"/>
        </w:rPr>
        <w:t xml:space="preserve"> tuner issues</w:t>
      </w:r>
      <w:r w:rsidRPr="0055001B" w:rsidR="00C76C09">
        <w:rPr>
          <w:rFonts w:cs="Times New Roman"/>
        </w:rPr>
        <w:t xml:space="preserve">, </w:t>
      </w:r>
      <w:r w:rsidR="002754EC">
        <w:rPr>
          <w:rFonts w:cs="Times New Roman"/>
        </w:rPr>
        <w:t>and equipment out for repair</w:t>
      </w:r>
      <w:r w:rsidRPr="0055001B">
        <w:rPr>
          <w:rFonts w:cs="Times New Roman"/>
        </w:rPr>
        <w:t xml:space="preserve">.  </w:t>
      </w:r>
    </w:p>
    <w:p w:rsidR="00343A2C" w:rsidRPr="00B57342" w:rsidP="00295D2D" w14:paraId="4FE11340" w14:textId="77777777">
      <w:pPr>
        <w:pStyle w:val="Heading3"/>
      </w:pPr>
      <w:bookmarkStart w:id="370" w:name="_Toc507169938"/>
      <w:bookmarkStart w:id="371" w:name="_Toc507170374"/>
      <w:bookmarkStart w:id="372" w:name="_Toc507170720"/>
      <w:bookmarkStart w:id="373" w:name="_Toc507171316"/>
      <w:bookmarkStart w:id="374" w:name="_Toc507171679"/>
      <w:bookmarkStart w:id="375" w:name="_Toc507772339"/>
      <w:bookmarkStart w:id="376" w:name="_Toc507772726"/>
      <w:bookmarkStart w:id="377" w:name="_Toc508315412"/>
      <w:bookmarkStart w:id="378" w:name="_Toc508315997"/>
      <w:bookmarkStart w:id="379" w:name="_Toc511291569"/>
      <w:bookmarkStart w:id="380" w:name="_Toc511292361"/>
      <w:bookmarkStart w:id="381" w:name="_Toc5614047"/>
      <w:r w:rsidRPr="00B57342">
        <w:t xml:space="preserve">Equipment </w:t>
      </w:r>
      <w:bookmarkEnd w:id="367"/>
      <w:bookmarkEnd w:id="368"/>
      <w:bookmarkEnd w:id="369"/>
      <w:r w:rsidRPr="00B57342" w:rsidR="00024E13">
        <w:t>Configuration</w:t>
      </w:r>
      <w:bookmarkEnd w:id="370"/>
      <w:bookmarkEnd w:id="371"/>
      <w:bookmarkEnd w:id="372"/>
      <w:bookmarkEnd w:id="373"/>
      <w:bookmarkEnd w:id="374"/>
      <w:bookmarkEnd w:id="375"/>
      <w:bookmarkEnd w:id="376"/>
      <w:bookmarkEnd w:id="377"/>
      <w:bookmarkEnd w:id="378"/>
      <w:bookmarkEnd w:id="379"/>
      <w:bookmarkEnd w:id="380"/>
      <w:bookmarkEnd w:id="381"/>
    </w:p>
    <w:p w:rsidR="00024E13" w:rsidRPr="00085542" w14:paraId="08AC5924" w14:textId="77777777">
      <w:pPr>
        <w:pStyle w:val="ParaNum"/>
        <w:numPr>
          <w:ilvl w:val="0"/>
          <w:numId w:val="0"/>
        </w:numPr>
        <w:rPr>
          <w:rFonts w:cs="Times New Roman"/>
          <w:b/>
        </w:rPr>
      </w:pPr>
      <w:r w:rsidRPr="00785A17">
        <w:rPr>
          <w:rFonts w:cs="Times New Roman"/>
        </w:rPr>
        <w:t>There were</w:t>
      </w:r>
      <w:r w:rsidRPr="00C32047" w:rsidR="00343A2C">
        <w:rPr>
          <w:rFonts w:cs="Times New Roman"/>
        </w:rPr>
        <w:t xml:space="preserve"> </w:t>
      </w:r>
      <w:r w:rsidR="002754EC">
        <w:rPr>
          <w:rFonts w:cs="Times New Roman"/>
        </w:rPr>
        <w:t>160</w:t>
      </w:r>
      <w:r w:rsidRPr="00DF7C10" w:rsidR="00343A2C">
        <w:rPr>
          <w:rFonts w:cs="Times New Roman"/>
        </w:rPr>
        <w:t xml:space="preserve"> </w:t>
      </w:r>
      <w:r w:rsidRPr="00D55BAA">
        <w:rPr>
          <w:rFonts w:cs="Times New Roman"/>
        </w:rPr>
        <w:t xml:space="preserve">test participants that provided detailed explanations of </w:t>
      </w:r>
      <w:r w:rsidRPr="00D965C4" w:rsidR="00FF6FDE">
        <w:rPr>
          <w:rFonts w:cs="Times New Roman"/>
        </w:rPr>
        <w:t xml:space="preserve">EAS </w:t>
      </w:r>
      <w:r w:rsidRPr="00D034E5">
        <w:rPr>
          <w:rFonts w:cs="Times New Roman"/>
        </w:rPr>
        <w:t xml:space="preserve">equipment configuration issues.  </w:t>
      </w:r>
      <w:r w:rsidR="00250F32">
        <w:rPr>
          <w:rFonts w:cs="Times New Roman"/>
        </w:rPr>
        <w:t xml:space="preserve">This result represents a reduction from the </w:t>
      </w:r>
      <w:r w:rsidR="002754EC">
        <w:rPr>
          <w:rFonts w:cs="Times New Roman"/>
        </w:rPr>
        <w:t>206</w:t>
      </w:r>
      <w:r w:rsidR="00250F32">
        <w:rPr>
          <w:rFonts w:cs="Times New Roman"/>
        </w:rPr>
        <w:t xml:space="preserve"> reported equipment configuration issues from the </w:t>
      </w:r>
      <w:r w:rsidR="00250F32">
        <w:rPr>
          <w:rFonts w:cs="Times New Roman"/>
        </w:rPr>
        <w:t>previous year.</w:t>
      </w:r>
      <w:r>
        <w:rPr>
          <w:rStyle w:val="FootnoteReference"/>
        </w:rPr>
        <w:footnoteReference w:id="89"/>
      </w:r>
      <w:r w:rsidR="00250F32">
        <w:rPr>
          <w:rFonts w:cs="Times New Roman"/>
        </w:rPr>
        <w:t xml:space="preserve">  </w:t>
      </w:r>
      <w:r w:rsidR="0025295A">
        <w:rPr>
          <w:rFonts w:cs="Times New Roman"/>
        </w:rPr>
        <w:t xml:space="preserve">Of these </w:t>
      </w:r>
      <w:r w:rsidRPr="00785A17" w:rsidR="0007552D">
        <w:rPr>
          <w:rFonts w:cs="Times New Roman"/>
        </w:rPr>
        <w:t xml:space="preserve">explanations </w:t>
      </w:r>
      <w:r w:rsidR="007B4D55">
        <w:rPr>
          <w:rFonts w:cs="Times New Roman"/>
        </w:rPr>
        <w:t>of equipment configuration</w:t>
      </w:r>
      <w:r w:rsidR="001300E4">
        <w:rPr>
          <w:rFonts w:cs="Times New Roman"/>
        </w:rPr>
        <w:t xml:space="preserve">, </w:t>
      </w:r>
      <w:r w:rsidR="002754EC">
        <w:rPr>
          <w:rFonts w:cs="Times New Roman"/>
        </w:rPr>
        <w:t>19</w:t>
      </w:r>
      <w:r w:rsidR="007B4D55">
        <w:rPr>
          <w:rFonts w:cs="Times New Roman"/>
        </w:rPr>
        <w:t xml:space="preserve"> were on alert receipt, and </w:t>
      </w:r>
      <w:r w:rsidR="00B358C0">
        <w:rPr>
          <w:rFonts w:cs="Times New Roman"/>
        </w:rPr>
        <w:t>1</w:t>
      </w:r>
      <w:r w:rsidR="002754EC">
        <w:rPr>
          <w:rFonts w:cs="Times New Roman"/>
        </w:rPr>
        <w:t>41</w:t>
      </w:r>
      <w:r w:rsidR="00B93221">
        <w:rPr>
          <w:rFonts w:cs="Times New Roman"/>
        </w:rPr>
        <w:t xml:space="preserve"> </w:t>
      </w:r>
      <w:r w:rsidR="007B4D55">
        <w:rPr>
          <w:rFonts w:cs="Times New Roman"/>
        </w:rPr>
        <w:t>on retransmission.  Of those explaining issue</w:t>
      </w:r>
      <w:r w:rsidR="00B358C0">
        <w:rPr>
          <w:rFonts w:cs="Times New Roman"/>
        </w:rPr>
        <w:t>s</w:t>
      </w:r>
      <w:r w:rsidR="007B4D55">
        <w:rPr>
          <w:rFonts w:cs="Times New Roman"/>
        </w:rPr>
        <w:t xml:space="preserve"> on receipt, </w:t>
      </w:r>
      <w:r w:rsidR="002754EC">
        <w:rPr>
          <w:rFonts w:cs="Times New Roman"/>
        </w:rPr>
        <w:t>10</w:t>
      </w:r>
      <w:r w:rsidRPr="00C32047" w:rsidR="00492919">
        <w:rPr>
          <w:rFonts w:cs="Times New Roman"/>
        </w:rPr>
        <w:t xml:space="preserve"> </w:t>
      </w:r>
      <w:r w:rsidR="007B4D55">
        <w:rPr>
          <w:rFonts w:cs="Times New Roman"/>
        </w:rPr>
        <w:t xml:space="preserve">were </w:t>
      </w:r>
      <w:r w:rsidRPr="00C32047" w:rsidR="00492919">
        <w:rPr>
          <w:rFonts w:cs="Times New Roman"/>
        </w:rPr>
        <w:t xml:space="preserve">radio broadcasters, </w:t>
      </w:r>
      <w:r w:rsidR="002754EC">
        <w:rPr>
          <w:rFonts w:cs="Times New Roman"/>
        </w:rPr>
        <w:t>five</w:t>
      </w:r>
      <w:r w:rsidRPr="00C32047" w:rsidR="007B4D55">
        <w:rPr>
          <w:rFonts w:cs="Times New Roman"/>
        </w:rPr>
        <w:t xml:space="preserve"> </w:t>
      </w:r>
      <w:r w:rsidRPr="00C32047" w:rsidR="00492919">
        <w:rPr>
          <w:rFonts w:cs="Times New Roman"/>
        </w:rPr>
        <w:t xml:space="preserve">television broadcasters, </w:t>
      </w:r>
      <w:r w:rsidR="002754EC">
        <w:rPr>
          <w:rFonts w:cs="Times New Roman"/>
        </w:rPr>
        <w:t>three</w:t>
      </w:r>
      <w:r w:rsidRPr="00E23F3C" w:rsidR="007B4D55">
        <w:rPr>
          <w:rFonts w:cs="Times New Roman"/>
        </w:rPr>
        <w:t xml:space="preserve"> </w:t>
      </w:r>
      <w:r w:rsidRPr="00E23F3C">
        <w:rPr>
          <w:rFonts w:cs="Times New Roman"/>
        </w:rPr>
        <w:t>cable providers</w:t>
      </w:r>
      <w:r w:rsidR="002754EC">
        <w:rPr>
          <w:rFonts w:cs="Times New Roman"/>
        </w:rPr>
        <w:t>, and one IPTV provider</w:t>
      </w:r>
      <w:r w:rsidRPr="00E23F3C">
        <w:rPr>
          <w:rFonts w:cs="Times New Roman"/>
        </w:rPr>
        <w:t>.</w:t>
      </w:r>
      <w:r w:rsidRPr="00DF7C10">
        <w:rPr>
          <w:rFonts w:cs="Times New Roman"/>
        </w:rPr>
        <w:t xml:space="preserve">  O</w:t>
      </w:r>
      <w:r w:rsidR="00B358C0">
        <w:rPr>
          <w:rFonts w:cs="Times New Roman"/>
        </w:rPr>
        <w:t>f those explaining issues o</w:t>
      </w:r>
      <w:r w:rsidRPr="00DF7C10">
        <w:rPr>
          <w:rFonts w:cs="Times New Roman"/>
        </w:rPr>
        <w:t xml:space="preserve">n retransmission, </w:t>
      </w:r>
      <w:r w:rsidR="002754EC">
        <w:rPr>
          <w:rFonts w:cs="Times New Roman"/>
        </w:rPr>
        <w:t>73</w:t>
      </w:r>
      <w:r w:rsidRPr="00D965C4">
        <w:rPr>
          <w:rFonts w:cs="Times New Roman"/>
        </w:rPr>
        <w:t xml:space="preserve"> </w:t>
      </w:r>
      <w:r w:rsidR="00B358C0">
        <w:rPr>
          <w:rFonts w:cs="Times New Roman"/>
        </w:rPr>
        <w:t xml:space="preserve">were </w:t>
      </w:r>
      <w:r w:rsidRPr="00D965C4">
        <w:rPr>
          <w:rFonts w:cs="Times New Roman"/>
        </w:rPr>
        <w:t xml:space="preserve">radio broadcasters, </w:t>
      </w:r>
      <w:r w:rsidR="000B2CFF">
        <w:rPr>
          <w:rFonts w:cs="Times New Roman"/>
        </w:rPr>
        <w:t>28</w:t>
      </w:r>
      <w:r w:rsidRPr="00D034E5" w:rsidR="00343A2C">
        <w:rPr>
          <w:rFonts w:cs="Times New Roman"/>
        </w:rPr>
        <w:t xml:space="preserve"> television broadcasters, </w:t>
      </w:r>
      <w:r w:rsidR="000B2CFF">
        <w:rPr>
          <w:rFonts w:cs="Times New Roman"/>
        </w:rPr>
        <w:t>33</w:t>
      </w:r>
      <w:r w:rsidRPr="00FE30CC" w:rsidR="00343A2C">
        <w:rPr>
          <w:rFonts w:cs="Times New Roman"/>
        </w:rPr>
        <w:t xml:space="preserve"> cable providers</w:t>
      </w:r>
      <w:r w:rsidRPr="00611C1A" w:rsidR="00492919">
        <w:rPr>
          <w:rFonts w:cs="Times New Roman"/>
        </w:rPr>
        <w:t xml:space="preserve">, </w:t>
      </w:r>
      <w:r w:rsidR="000B2CFF">
        <w:rPr>
          <w:rFonts w:cs="Times New Roman"/>
        </w:rPr>
        <w:t>and seven</w:t>
      </w:r>
      <w:r w:rsidRPr="00F427BF" w:rsidR="007B4D55">
        <w:rPr>
          <w:rFonts w:cs="Times New Roman"/>
        </w:rPr>
        <w:t xml:space="preserve"> </w:t>
      </w:r>
      <w:r w:rsidRPr="00F427BF">
        <w:rPr>
          <w:rFonts w:cs="Times New Roman"/>
        </w:rPr>
        <w:t>IPTV providers</w:t>
      </w:r>
      <w:r w:rsidRPr="00262A19" w:rsidR="00343A2C">
        <w:rPr>
          <w:rFonts w:cs="Times New Roman"/>
        </w:rPr>
        <w:t xml:space="preserve">.  </w:t>
      </w:r>
      <w:r w:rsidR="00B5768C">
        <w:rPr>
          <w:rFonts w:cs="Times New Roman"/>
        </w:rPr>
        <w:t>Participants cited</w:t>
      </w:r>
      <w:r w:rsidRPr="003F7CA1" w:rsidR="00845A44">
        <w:rPr>
          <w:rFonts w:cs="Times New Roman"/>
        </w:rPr>
        <w:t xml:space="preserve"> failure to configure the </w:t>
      </w:r>
      <w:r w:rsidRPr="0063239E">
        <w:rPr>
          <w:rFonts w:cs="Times New Roman"/>
        </w:rPr>
        <w:t>nationwide location code or the NPT code</w:t>
      </w:r>
      <w:r w:rsidR="00B5768C">
        <w:rPr>
          <w:rFonts w:cs="Times New Roman"/>
        </w:rPr>
        <w:t xml:space="preserve"> and</w:t>
      </w:r>
      <w:r w:rsidRPr="0063239E" w:rsidR="00845A44">
        <w:rPr>
          <w:rFonts w:cs="Times New Roman"/>
        </w:rPr>
        <w:t xml:space="preserve"> message forwarding issues.</w:t>
      </w:r>
      <w:r w:rsidRPr="0063239E">
        <w:rPr>
          <w:rFonts w:cs="Times New Roman"/>
        </w:rPr>
        <w:t xml:space="preserve"> </w:t>
      </w:r>
      <w:r w:rsidRPr="0063239E" w:rsidR="00845A44">
        <w:rPr>
          <w:rFonts w:cs="Times New Roman"/>
        </w:rPr>
        <w:t xml:space="preserve"> </w:t>
      </w:r>
      <w:r w:rsidRPr="00C04BF5" w:rsidR="00535383">
        <w:rPr>
          <w:rFonts w:cs="Times New Roman"/>
        </w:rPr>
        <w:t>M</w:t>
      </w:r>
      <w:r w:rsidR="000B0B17">
        <w:rPr>
          <w:rFonts w:cs="Times New Roman"/>
        </w:rPr>
        <w:t>ost</w:t>
      </w:r>
      <w:r w:rsidRPr="0055001B">
        <w:rPr>
          <w:rFonts w:cs="Times New Roman"/>
        </w:rPr>
        <w:t xml:space="preserve"> test participants that reported complications related to equipment configuration also reported that they had successfully identified and corrected the cause of those complications.</w:t>
      </w:r>
    </w:p>
    <w:p w:rsidR="00343A2C" w:rsidRPr="00B57342" w:rsidP="00295D2D" w14:paraId="56E47A37" w14:textId="77777777">
      <w:pPr>
        <w:pStyle w:val="Heading3"/>
      </w:pPr>
      <w:bookmarkStart w:id="382" w:name="_Toc477433286"/>
      <w:bookmarkStart w:id="383" w:name="_Toc479002029"/>
      <w:bookmarkStart w:id="384" w:name="_Toc477433485"/>
      <w:bookmarkStart w:id="385" w:name="_Toc507169939"/>
      <w:bookmarkStart w:id="386" w:name="_Toc507170375"/>
      <w:bookmarkStart w:id="387" w:name="_Toc507170721"/>
      <w:bookmarkStart w:id="388" w:name="_Toc507171317"/>
      <w:bookmarkStart w:id="389" w:name="_Toc507171680"/>
      <w:bookmarkStart w:id="390" w:name="_Toc507772340"/>
      <w:bookmarkStart w:id="391" w:name="_Toc507772727"/>
      <w:bookmarkStart w:id="392" w:name="_Toc508315413"/>
      <w:bookmarkStart w:id="393" w:name="_Toc508315998"/>
      <w:bookmarkStart w:id="394" w:name="_Toc511291570"/>
      <w:bookmarkStart w:id="395" w:name="_Toc511292362"/>
      <w:bookmarkStart w:id="396" w:name="_Toc5614048"/>
      <w:r w:rsidRPr="00B57342">
        <w:t>Failure to Update Software</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43A2C" w:rsidRPr="00085542" w14:paraId="16317C68" w14:textId="069FC7DE">
      <w:pPr>
        <w:pStyle w:val="ParaNum"/>
        <w:numPr>
          <w:ilvl w:val="0"/>
          <w:numId w:val="0"/>
        </w:numPr>
        <w:rPr>
          <w:rFonts w:cs="Times New Roman"/>
          <w:b/>
          <w:u w:val="single"/>
        </w:rPr>
      </w:pPr>
      <w:r w:rsidRPr="00785A17">
        <w:rPr>
          <w:rFonts w:cs="Times New Roman"/>
        </w:rPr>
        <w:t>There were</w:t>
      </w:r>
      <w:r w:rsidRPr="00C32047">
        <w:rPr>
          <w:rFonts w:cs="Times New Roman"/>
        </w:rPr>
        <w:t xml:space="preserve"> </w:t>
      </w:r>
      <w:r w:rsidR="005422C4">
        <w:rPr>
          <w:rFonts w:cs="Times New Roman"/>
        </w:rPr>
        <w:t>21</w:t>
      </w:r>
      <w:r w:rsidR="00521FA1">
        <w:rPr>
          <w:rFonts w:cs="Times New Roman"/>
        </w:rPr>
        <w:t>5</w:t>
      </w:r>
      <w:r w:rsidRPr="00C32047">
        <w:rPr>
          <w:rFonts w:cs="Times New Roman"/>
        </w:rPr>
        <w:t xml:space="preserve"> test participants that provided detailed explanations of complications related to failure t</w:t>
      </w:r>
      <w:r w:rsidRPr="00E23F3C">
        <w:rPr>
          <w:rFonts w:cs="Times New Roman"/>
        </w:rPr>
        <w:t>o update EAS equipment software</w:t>
      </w:r>
      <w:r w:rsidR="005422C4">
        <w:rPr>
          <w:rFonts w:cs="Times New Roman"/>
        </w:rPr>
        <w:t>, a significant increase from the 9</w:t>
      </w:r>
      <w:r w:rsidR="00521FA1">
        <w:rPr>
          <w:rFonts w:cs="Times New Roman"/>
        </w:rPr>
        <w:t>8</w:t>
      </w:r>
      <w:r w:rsidR="005422C4">
        <w:rPr>
          <w:rFonts w:cs="Times New Roman"/>
        </w:rPr>
        <w:t xml:space="preserve"> test participants that reported software issues in 2017</w:t>
      </w:r>
      <w:r w:rsidRPr="00E23F3C">
        <w:rPr>
          <w:rFonts w:cs="Times New Roman"/>
        </w:rPr>
        <w:t>.</w:t>
      </w:r>
      <w:r>
        <w:rPr>
          <w:rStyle w:val="FootnoteReference"/>
        </w:rPr>
        <w:footnoteReference w:id="90"/>
      </w:r>
      <w:r w:rsidRPr="00E23F3C">
        <w:rPr>
          <w:rFonts w:cs="Times New Roman"/>
        </w:rPr>
        <w:t xml:space="preserve">  </w:t>
      </w:r>
      <w:r w:rsidR="00B358C0">
        <w:rPr>
          <w:rFonts w:cs="Times New Roman"/>
        </w:rPr>
        <w:t>Of the</w:t>
      </w:r>
      <w:r w:rsidR="00274F27">
        <w:rPr>
          <w:rFonts w:cs="Times New Roman"/>
        </w:rPr>
        <w:t>se</w:t>
      </w:r>
      <w:r w:rsidR="00B358C0">
        <w:rPr>
          <w:rFonts w:cs="Times New Roman"/>
        </w:rPr>
        <w:t xml:space="preserve"> </w:t>
      </w:r>
      <w:r w:rsidR="001300E4">
        <w:rPr>
          <w:rFonts w:cs="Times New Roman"/>
        </w:rPr>
        <w:t xml:space="preserve">explanations, </w:t>
      </w:r>
      <w:r w:rsidR="005422C4">
        <w:rPr>
          <w:rFonts w:cs="Times New Roman"/>
        </w:rPr>
        <w:t>96</w:t>
      </w:r>
      <w:r w:rsidR="001300E4">
        <w:rPr>
          <w:rFonts w:cs="Times New Roman"/>
        </w:rPr>
        <w:t xml:space="preserve"> </w:t>
      </w:r>
      <w:r w:rsidR="00B358C0">
        <w:rPr>
          <w:rFonts w:cs="Times New Roman"/>
        </w:rPr>
        <w:t xml:space="preserve">were on alert receipt, and </w:t>
      </w:r>
      <w:r w:rsidR="005422C4">
        <w:rPr>
          <w:rFonts w:cs="Times New Roman"/>
        </w:rPr>
        <w:t>1</w:t>
      </w:r>
      <w:r w:rsidR="00521FA1">
        <w:rPr>
          <w:rFonts w:cs="Times New Roman"/>
        </w:rPr>
        <w:t>19</w:t>
      </w:r>
      <w:r w:rsidR="00B358C0">
        <w:rPr>
          <w:rFonts w:cs="Times New Roman"/>
        </w:rPr>
        <w:t xml:space="preserve"> on retransmission.  </w:t>
      </w:r>
      <w:r w:rsidRPr="00E23F3C">
        <w:rPr>
          <w:rFonts w:cs="Times New Roman"/>
        </w:rPr>
        <w:t>On receipt,</w:t>
      </w:r>
      <w:r w:rsidRPr="00DF7C10" w:rsidR="00B162F1">
        <w:rPr>
          <w:rFonts w:cs="Times New Roman"/>
        </w:rPr>
        <w:t xml:space="preserve"> </w:t>
      </w:r>
      <w:r w:rsidRPr="0002707A" w:rsidR="006C24F7">
        <w:rPr>
          <w:rFonts w:cs="Times New Roman"/>
        </w:rPr>
        <w:t>there were</w:t>
      </w:r>
      <w:r w:rsidRPr="00DF7C10" w:rsidR="00B162F1">
        <w:rPr>
          <w:rFonts w:cs="Times New Roman"/>
        </w:rPr>
        <w:t xml:space="preserve"> explanations from</w:t>
      </w:r>
      <w:r w:rsidRPr="00D55BAA">
        <w:rPr>
          <w:rFonts w:cs="Times New Roman"/>
        </w:rPr>
        <w:t xml:space="preserve"> </w:t>
      </w:r>
      <w:r w:rsidR="00194386">
        <w:rPr>
          <w:rFonts w:cs="Times New Roman"/>
        </w:rPr>
        <w:t>81</w:t>
      </w:r>
      <w:r w:rsidRPr="00D965C4" w:rsidR="0029723A">
        <w:rPr>
          <w:rFonts w:cs="Times New Roman"/>
        </w:rPr>
        <w:t xml:space="preserve"> radio broadcasters, </w:t>
      </w:r>
      <w:r w:rsidR="00194386">
        <w:rPr>
          <w:rFonts w:cs="Times New Roman"/>
        </w:rPr>
        <w:t>seven</w:t>
      </w:r>
      <w:r w:rsidRPr="00D034E5" w:rsidR="002220A5">
        <w:rPr>
          <w:rFonts w:cs="Times New Roman"/>
        </w:rPr>
        <w:t xml:space="preserve"> </w:t>
      </w:r>
      <w:r w:rsidRPr="00C01B45" w:rsidR="0029723A">
        <w:rPr>
          <w:rFonts w:cs="Times New Roman"/>
        </w:rPr>
        <w:t>television broadcasters, an</w:t>
      </w:r>
      <w:r w:rsidRPr="00FE30CC" w:rsidR="0029723A">
        <w:rPr>
          <w:rFonts w:cs="Times New Roman"/>
        </w:rPr>
        <w:t xml:space="preserve">d </w:t>
      </w:r>
      <w:r w:rsidR="00194386">
        <w:rPr>
          <w:rFonts w:cs="Times New Roman"/>
        </w:rPr>
        <w:t>eight</w:t>
      </w:r>
      <w:r w:rsidRPr="00611C1A" w:rsidR="002220A5">
        <w:rPr>
          <w:rFonts w:cs="Times New Roman"/>
        </w:rPr>
        <w:t xml:space="preserve"> </w:t>
      </w:r>
      <w:r w:rsidRPr="00611C1A">
        <w:rPr>
          <w:rFonts w:cs="Times New Roman"/>
        </w:rPr>
        <w:t xml:space="preserve">cable providers.  </w:t>
      </w:r>
      <w:r w:rsidRPr="00F427BF">
        <w:rPr>
          <w:rFonts w:cs="Times New Roman"/>
        </w:rPr>
        <w:t xml:space="preserve">On retransmission, </w:t>
      </w:r>
      <w:r w:rsidRPr="0002707A" w:rsidR="006C24F7">
        <w:rPr>
          <w:rFonts w:cs="Times New Roman"/>
        </w:rPr>
        <w:t>there were</w:t>
      </w:r>
      <w:r w:rsidRPr="00262A19" w:rsidR="00B162F1">
        <w:rPr>
          <w:rFonts w:cs="Times New Roman"/>
        </w:rPr>
        <w:t xml:space="preserve"> explanations from </w:t>
      </w:r>
      <w:r w:rsidR="00194386">
        <w:rPr>
          <w:rFonts w:cs="Times New Roman"/>
        </w:rPr>
        <w:t>86</w:t>
      </w:r>
      <w:r w:rsidRPr="003F7CA1">
        <w:rPr>
          <w:rFonts w:cs="Times New Roman"/>
        </w:rPr>
        <w:t xml:space="preserve"> radio</w:t>
      </w:r>
      <w:r w:rsidRPr="0063239E" w:rsidR="00B162F1">
        <w:rPr>
          <w:rFonts w:cs="Times New Roman"/>
        </w:rPr>
        <w:t xml:space="preserve"> broadcasters</w:t>
      </w:r>
      <w:r w:rsidRPr="0063239E">
        <w:rPr>
          <w:rFonts w:cs="Times New Roman"/>
        </w:rPr>
        <w:t xml:space="preserve">, </w:t>
      </w:r>
      <w:r w:rsidR="00194386">
        <w:rPr>
          <w:rFonts w:cs="Times New Roman"/>
        </w:rPr>
        <w:t>19 cable providers, 13</w:t>
      </w:r>
      <w:r w:rsidRPr="0063239E">
        <w:rPr>
          <w:rFonts w:cs="Times New Roman"/>
        </w:rPr>
        <w:t xml:space="preserve"> television broadcasters, and </w:t>
      </w:r>
      <w:r w:rsidR="00194386">
        <w:rPr>
          <w:rFonts w:cs="Times New Roman"/>
        </w:rPr>
        <w:t>one IPTV provider</w:t>
      </w:r>
      <w:r w:rsidRPr="0063239E">
        <w:rPr>
          <w:rFonts w:cs="Times New Roman"/>
        </w:rPr>
        <w:t>.  The impact of failing to install recent software updates varied.  Some test participants reported that failure to install a software update prevented their equipment f</w:t>
      </w:r>
      <w:r w:rsidRPr="00C04BF5">
        <w:rPr>
          <w:rFonts w:cs="Times New Roman"/>
        </w:rPr>
        <w:t xml:space="preserve">rom receiving the alert, while </w:t>
      </w:r>
      <w:r w:rsidR="000B0B17">
        <w:rPr>
          <w:rFonts w:cs="Times New Roman"/>
        </w:rPr>
        <w:t xml:space="preserve">most reporting software issues with their equipment </w:t>
      </w:r>
      <w:r w:rsidRPr="00C04BF5">
        <w:rPr>
          <w:rFonts w:cs="Times New Roman"/>
        </w:rPr>
        <w:t xml:space="preserve">were unable to successfully retransmit the alert.  </w:t>
      </w:r>
      <w:r w:rsidR="00F01822">
        <w:rPr>
          <w:rFonts w:cs="Times New Roman"/>
        </w:rPr>
        <w:t>A majority of</w:t>
      </w:r>
      <w:r w:rsidR="000B0B17">
        <w:rPr>
          <w:rFonts w:cs="Times New Roman"/>
        </w:rPr>
        <w:t xml:space="preserve"> </w:t>
      </w:r>
      <w:r w:rsidRPr="00785A17">
        <w:rPr>
          <w:rFonts w:cs="Times New Roman"/>
        </w:rPr>
        <w:t xml:space="preserve">test participants that reported </w:t>
      </w:r>
      <w:r w:rsidR="007F3442">
        <w:rPr>
          <w:rFonts w:cs="Times New Roman"/>
        </w:rPr>
        <w:t xml:space="preserve">needing updates </w:t>
      </w:r>
      <w:r w:rsidRPr="00785A17">
        <w:rPr>
          <w:rFonts w:cs="Times New Roman"/>
        </w:rPr>
        <w:t>also reported that they have since made the necessary updates.</w:t>
      </w:r>
    </w:p>
    <w:p w:rsidR="00670DB6" w:rsidP="00295D2D" w14:paraId="037E4EE4" w14:textId="77777777">
      <w:pPr>
        <w:pStyle w:val="Heading3"/>
      </w:pPr>
      <w:bookmarkStart w:id="397" w:name="_Toc5614049"/>
      <w:bookmarkStart w:id="398" w:name="_Toc477433287"/>
      <w:bookmarkStart w:id="399" w:name="_Toc479002030"/>
      <w:bookmarkStart w:id="400" w:name="_Toc477433486"/>
      <w:bookmarkStart w:id="401" w:name="_Toc507169940"/>
      <w:bookmarkStart w:id="402" w:name="_Toc507170376"/>
      <w:bookmarkStart w:id="403" w:name="_Toc507170722"/>
      <w:bookmarkStart w:id="404" w:name="_Toc507171318"/>
      <w:bookmarkStart w:id="405" w:name="_Toc507171681"/>
      <w:bookmarkStart w:id="406" w:name="_Toc507772341"/>
      <w:bookmarkStart w:id="407" w:name="_Toc507772728"/>
      <w:bookmarkStart w:id="408" w:name="_Toc508315414"/>
      <w:bookmarkStart w:id="409" w:name="_Toc508315999"/>
      <w:bookmarkStart w:id="410" w:name="_Toc511291571"/>
      <w:bookmarkStart w:id="411" w:name="_Toc511292363"/>
      <w:r>
        <w:t>Alert</w:t>
      </w:r>
      <w:r>
        <w:t xml:space="preserve"> Source </w:t>
      </w:r>
      <w:r>
        <w:t>Issues</w:t>
      </w:r>
      <w:bookmarkEnd w:id="397"/>
    </w:p>
    <w:p w:rsidR="00670DB6" w:rsidP="00670DB6" w14:paraId="1FA541A5" w14:textId="77777777">
      <w:pPr>
        <w:pStyle w:val="ParaNum"/>
        <w:numPr>
          <w:ilvl w:val="0"/>
          <w:numId w:val="0"/>
        </w:numPr>
      </w:pPr>
      <w:r>
        <w:t xml:space="preserve">This year, </w:t>
      </w:r>
      <w:r w:rsidR="001C762E">
        <w:t xml:space="preserve">data was </w:t>
      </w:r>
      <w:r w:rsidR="00E26D3B">
        <w:t>analyzed</w:t>
      </w:r>
      <w:r w:rsidR="001C762E">
        <w:t xml:space="preserve"> regarding test participants who provided explanations of complications with mo</w:t>
      </w:r>
      <w:r w:rsidR="000C5E43">
        <w:t>nitoring sources as assigned by their State EAS Plan.</w:t>
      </w:r>
      <w:r>
        <w:rPr>
          <w:rStyle w:val="FootnoteReference"/>
        </w:rPr>
        <w:footnoteReference w:id="91"/>
      </w:r>
      <w:r w:rsidR="000C5E43">
        <w:t xml:space="preserve">  There were 217 test participants that provided detailed explanations related to failure to receive or retransmit the test from their assigned monitoring source.  Of these explanations, 126 were on alert receipt, and 91 were on retransmission.  On receipt, there were explanations from 112 radio broadcasters, seven cable providers, five television broadcasters, and two IPTV providers.  On retransmission, there were explanations from 81 radio broadcasters, five television broadcasters, four cable providers, and one IPTV provider.  Most participants cited failure to receive a strong signal from their LP-1 or LP-2 station, while some stated that no signal was received at all. </w:t>
      </w:r>
    </w:p>
    <w:p w:rsidR="000C5E43" w:rsidRPr="00670DB6" w:rsidP="00670DB6" w14:paraId="21D40EFD" w14:textId="77777777">
      <w:pPr>
        <w:pStyle w:val="ParaNum"/>
        <w:numPr>
          <w:ilvl w:val="0"/>
          <w:numId w:val="0"/>
        </w:numPr>
      </w:pPr>
      <w:r>
        <w:t xml:space="preserve">Eighty test participants provided detailed explanations of complications related to accessing IPAWS.  Of these explanations, 36 were on receipt, and 44 were on retransmission.  </w:t>
      </w:r>
      <w:r w:rsidR="00F11B94">
        <w:t xml:space="preserve">On receipt, there were explanations from 32 radio broadcasters, three television broadcasters, and one cable provider.  On retransmission, there were explanations from 37 radio broadcasters, five television broadcasters, one cable provider, and one IPTV provider.  </w:t>
      </w:r>
      <w:r w:rsidR="00252042">
        <w:t>Most test participants cited the expiration of their IPAWS security certificate as the cause of the error, and many reported that they have since renewed the necessary security certificates.</w:t>
      </w:r>
    </w:p>
    <w:p w:rsidR="00343A2C" w:rsidRPr="00B57342" w:rsidP="00295D2D" w14:paraId="5F4FD4A7" w14:textId="77777777">
      <w:pPr>
        <w:pStyle w:val="Heading3"/>
      </w:pPr>
      <w:bookmarkStart w:id="412" w:name="_Toc5614050"/>
      <w:r w:rsidRPr="00B57342">
        <w:t xml:space="preserve">Audio </w:t>
      </w:r>
      <w:bookmarkEnd w:id="398"/>
      <w:bookmarkEnd w:id="399"/>
      <w:bookmarkEnd w:id="400"/>
      <w:bookmarkEnd w:id="401"/>
      <w:bookmarkEnd w:id="402"/>
      <w:bookmarkEnd w:id="403"/>
      <w:bookmarkEnd w:id="404"/>
      <w:bookmarkEnd w:id="405"/>
      <w:r w:rsidR="00D24830">
        <w:t>Issues</w:t>
      </w:r>
      <w:bookmarkEnd w:id="406"/>
      <w:bookmarkEnd w:id="407"/>
      <w:bookmarkEnd w:id="408"/>
      <w:bookmarkEnd w:id="409"/>
      <w:bookmarkEnd w:id="410"/>
      <w:bookmarkEnd w:id="411"/>
      <w:bookmarkEnd w:id="412"/>
    </w:p>
    <w:p w:rsidR="00343A2C" w:rsidRPr="00670DB6" w:rsidP="00343A2C" w14:paraId="149DF538" w14:textId="77777777">
      <w:pPr>
        <w:pStyle w:val="ParaNum"/>
        <w:numPr>
          <w:ilvl w:val="0"/>
          <w:numId w:val="0"/>
        </w:numPr>
        <w:rPr>
          <w:rFonts w:cs="Times New Roman"/>
        </w:rPr>
      </w:pPr>
      <w:r>
        <w:rPr>
          <w:rFonts w:cs="Times New Roman"/>
        </w:rPr>
        <w:t xml:space="preserve">There were </w:t>
      </w:r>
      <w:r w:rsidR="004D65D2">
        <w:rPr>
          <w:rFonts w:cs="Times New Roman"/>
        </w:rPr>
        <w:t>68</w:t>
      </w:r>
      <w:r w:rsidRPr="00DF7C10">
        <w:rPr>
          <w:rFonts w:cs="Times New Roman"/>
        </w:rPr>
        <w:t xml:space="preserve"> </w:t>
      </w:r>
      <w:r w:rsidR="00A37772">
        <w:rPr>
          <w:rFonts w:cs="Times New Roman"/>
        </w:rPr>
        <w:t>test participants</w:t>
      </w:r>
      <w:r>
        <w:rPr>
          <w:rFonts w:cs="Times New Roman"/>
        </w:rPr>
        <w:t xml:space="preserve"> that</w:t>
      </w:r>
      <w:r w:rsidR="00A37772">
        <w:rPr>
          <w:rFonts w:cs="Times New Roman"/>
        </w:rPr>
        <w:t xml:space="preserve"> provided</w:t>
      </w:r>
      <w:r w:rsidR="004D65D2">
        <w:rPr>
          <w:rFonts w:cs="Times New Roman"/>
        </w:rPr>
        <w:t xml:space="preserve"> explanations</w:t>
      </w:r>
      <w:r w:rsidRPr="0002707A" w:rsidR="006C24F7">
        <w:rPr>
          <w:rFonts w:cs="Times New Roman"/>
        </w:rPr>
        <w:t xml:space="preserve"> about </w:t>
      </w:r>
      <w:r w:rsidRPr="00E9423D" w:rsidR="006C24F7">
        <w:rPr>
          <w:rFonts w:cs="Times New Roman"/>
        </w:rPr>
        <w:t xml:space="preserve">audio quality complications upon </w:t>
      </w:r>
      <w:r w:rsidR="00A37772">
        <w:rPr>
          <w:rFonts w:cs="Times New Roman"/>
        </w:rPr>
        <w:t xml:space="preserve">alert receipt and/or </w:t>
      </w:r>
      <w:r w:rsidRPr="007B2ED3" w:rsidR="00A37772">
        <w:rPr>
          <w:rFonts w:cs="Times New Roman"/>
        </w:rPr>
        <w:t>retransmission</w:t>
      </w:r>
      <w:r w:rsidR="004D65D2">
        <w:rPr>
          <w:rFonts w:cs="Times New Roman"/>
        </w:rPr>
        <w:t>, a</w:t>
      </w:r>
      <w:r w:rsidR="00855118">
        <w:rPr>
          <w:rFonts w:cs="Times New Roman"/>
        </w:rPr>
        <w:t>n improvement</w:t>
      </w:r>
      <w:r w:rsidR="004D65D2">
        <w:rPr>
          <w:rFonts w:cs="Times New Roman"/>
        </w:rPr>
        <w:t xml:space="preserve"> from the 1,056 test participants reporting audio issues in 2017</w:t>
      </w:r>
      <w:r w:rsidRPr="00F427BF" w:rsidR="00B162F1">
        <w:rPr>
          <w:rFonts w:cs="Times New Roman"/>
        </w:rPr>
        <w:t>.</w:t>
      </w:r>
      <w:r w:rsidRPr="00262A19" w:rsidR="00841DEA">
        <w:rPr>
          <w:rFonts w:cs="Times New Roman"/>
        </w:rPr>
        <w:t xml:space="preserve"> </w:t>
      </w:r>
      <w:r w:rsidRPr="003F7CA1">
        <w:rPr>
          <w:rFonts w:cs="Times New Roman"/>
        </w:rPr>
        <w:t xml:space="preserve"> </w:t>
      </w:r>
      <w:r w:rsidR="004D65D2">
        <w:rPr>
          <w:rFonts w:cs="Times New Roman"/>
        </w:rPr>
        <w:t xml:space="preserve">276 test participants also noted audio issues with receipt without further explanation.  </w:t>
      </w:r>
      <w:r w:rsidR="00D24830">
        <w:rPr>
          <w:rFonts w:cs="Times New Roman"/>
        </w:rPr>
        <w:t xml:space="preserve">Of the </w:t>
      </w:r>
      <w:r w:rsidR="001300E4">
        <w:rPr>
          <w:rFonts w:cs="Times New Roman"/>
        </w:rPr>
        <w:t xml:space="preserve">audio issue </w:t>
      </w:r>
      <w:r w:rsidR="00D24830">
        <w:rPr>
          <w:rFonts w:cs="Times New Roman"/>
        </w:rPr>
        <w:t>explanations</w:t>
      </w:r>
      <w:r w:rsidR="001300E4">
        <w:rPr>
          <w:rFonts w:cs="Times New Roman"/>
        </w:rPr>
        <w:t xml:space="preserve">, </w:t>
      </w:r>
      <w:r w:rsidR="004D65D2">
        <w:rPr>
          <w:rFonts w:cs="Times New Roman"/>
        </w:rPr>
        <w:t>12</w:t>
      </w:r>
      <w:r w:rsidR="00D24830">
        <w:rPr>
          <w:rFonts w:cs="Times New Roman"/>
        </w:rPr>
        <w:t xml:space="preserve"> were on alert receipt, and </w:t>
      </w:r>
      <w:r w:rsidR="004D65D2">
        <w:rPr>
          <w:rFonts w:cs="Times New Roman"/>
        </w:rPr>
        <w:t>56</w:t>
      </w:r>
      <w:r w:rsidR="00162FCA">
        <w:rPr>
          <w:rFonts w:cs="Times New Roman"/>
        </w:rPr>
        <w:t xml:space="preserve"> </w:t>
      </w:r>
      <w:r w:rsidR="00D24830">
        <w:rPr>
          <w:rFonts w:cs="Times New Roman"/>
        </w:rPr>
        <w:t>on retransmission</w:t>
      </w:r>
      <w:r w:rsidR="004D741B">
        <w:rPr>
          <w:rFonts w:cs="Times New Roman"/>
        </w:rPr>
        <w:t xml:space="preserve">.  </w:t>
      </w:r>
      <w:r w:rsidRPr="0063239E" w:rsidR="004D741B">
        <w:rPr>
          <w:rFonts w:cs="Times New Roman"/>
        </w:rPr>
        <w:t xml:space="preserve">On receipt, </w:t>
      </w:r>
      <w:r w:rsidRPr="0002707A" w:rsidR="004D741B">
        <w:rPr>
          <w:rFonts w:cs="Times New Roman"/>
        </w:rPr>
        <w:t xml:space="preserve">there were </w:t>
      </w:r>
      <w:r w:rsidRPr="0063239E" w:rsidR="004D741B">
        <w:rPr>
          <w:rFonts w:cs="Times New Roman"/>
        </w:rPr>
        <w:t xml:space="preserve">explanations from </w:t>
      </w:r>
      <w:r w:rsidR="004D65D2">
        <w:rPr>
          <w:rFonts w:cs="Times New Roman"/>
        </w:rPr>
        <w:t>10</w:t>
      </w:r>
      <w:r w:rsidRPr="0063239E" w:rsidR="004D741B">
        <w:rPr>
          <w:rFonts w:cs="Times New Roman"/>
        </w:rPr>
        <w:t xml:space="preserve"> radio broadcasters</w:t>
      </w:r>
      <w:r w:rsidR="004D65D2">
        <w:rPr>
          <w:rFonts w:cs="Times New Roman"/>
        </w:rPr>
        <w:t xml:space="preserve"> and two</w:t>
      </w:r>
      <w:r w:rsidRPr="0063239E" w:rsidR="004D741B">
        <w:rPr>
          <w:rFonts w:cs="Times New Roman"/>
        </w:rPr>
        <w:t xml:space="preserve"> television broadcasters</w:t>
      </w:r>
      <w:r w:rsidRPr="00E9423D" w:rsidR="004D741B">
        <w:rPr>
          <w:rFonts w:cs="Times New Roman"/>
        </w:rPr>
        <w:t xml:space="preserve">.  </w:t>
      </w:r>
      <w:r w:rsidRPr="00E9423D" w:rsidR="00BC7157">
        <w:rPr>
          <w:rFonts w:cs="Times New Roman"/>
        </w:rPr>
        <w:t xml:space="preserve">On retransmission, </w:t>
      </w:r>
      <w:r w:rsidRPr="00E9423D" w:rsidR="006C24F7">
        <w:rPr>
          <w:rFonts w:cs="Times New Roman"/>
        </w:rPr>
        <w:t xml:space="preserve">there were </w:t>
      </w:r>
      <w:r w:rsidRPr="00C04BF5" w:rsidR="00BC7157">
        <w:rPr>
          <w:rFonts w:cs="Times New Roman"/>
        </w:rPr>
        <w:t xml:space="preserve">explanations from </w:t>
      </w:r>
      <w:r w:rsidR="004D65D2">
        <w:rPr>
          <w:rFonts w:cs="Times New Roman"/>
        </w:rPr>
        <w:t>45</w:t>
      </w:r>
      <w:r w:rsidRPr="00C04BF5" w:rsidR="00BC7157">
        <w:rPr>
          <w:rFonts w:cs="Times New Roman"/>
        </w:rPr>
        <w:t xml:space="preserve"> radio broadcasters, </w:t>
      </w:r>
      <w:r w:rsidR="004D65D2">
        <w:rPr>
          <w:rFonts w:cs="Times New Roman"/>
        </w:rPr>
        <w:t>nine</w:t>
      </w:r>
      <w:r w:rsidRPr="00C04BF5" w:rsidR="00BC7157">
        <w:rPr>
          <w:rFonts w:cs="Times New Roman"/>
        </w:rPr>
        <w:t xml:space="preserve"> televi</w:t>
      </w:r>
      <w:r w:rsidRPr="00C817F7" w:rsidR="00BC7157">
        <w:rPr>
          <w:rFonts w:cs="Times New Roman"/>
        </w:rPr>
        <w:t>sion broadcaste</w:t>
      </w:r>
      <w:r w:rsidRPr="00C817F7" w:rsidR="007A05FE">
        <w:rPr>
          <w:rFonts w:cs="Times New Roman"/>
        </w:rPr>
        <w:t xml:space="preserve">rs, </w:t>
      </w:r>
      <w:r w:rsidR="004D65D2">
        <w:rPr>
          <w:rFonts w:cs="Times New Roman"/>
        </w:rPr>
        <w:t>and two</w:t>
      </w:r>
      <w:r w:rsidRPr="00C817F7" w:rsidR="007A05FE">
        <w:rPr>
          <w:rFonts w:cs="Times New Roman"/>
        </w:rPr>
        <w:t xml:space="preserve"> cable providers</w:t>
      </w:r>
      <w:r w:rsidRPr="00E9423D">
        <w:rPr>
          <w:rFonts w:cs="Times New Roman"/>
        </w:rPr>
        <w:t xml:space="preserve">.  Many test participants reported audio quality issues that included background noise, static, distortion, echoing, low volume, and slow audio playback.  Some test participants </w:t>
      </w:r>
      <w:r w:rsidRPr="00E9423D" w:rsidR="00F27478">
        <w:rPr>
          <w:rFonts w:cs="Times New Roman"/>
        </w:rPr>
        <w:t>attributed their issues to</w:t>
      </w:r>
      <w:r w:rsidRPr="00E9423D">
        <w:rPr>
          <w:rFonts w:cs="Times New Roman"/>
        </w:rPr>
        <w:t xml:space="preserve"> a weak signal from the </w:t>
      </w:r>
      <w:r w:rsidRPr="00E9423D">
        <w:rPr>
          <w:rFonts w:cs="Times New Roman"/>
        </w:rPr>
        <w:t>over-the-air sources they were monitoring</w:t>
      </w:r>
      <w:r w:rsidR="00670DB6">
        <w:rPr>
          <w:rFonts w:cs="Times New Roman"/>
        </w:rPr>
        <w:t xml:space="preserve"> or EAS equipment malfunction</w:t>
      </w:r>
      <w:r w:rsidRPr="00E9423D">
        <w:rPr>
          <w:rFonts w:cs="Times New Roman"/>
        </w:rPr>
        <w:t xml:space="preserve">.  </w:t>
      </w:r>
      <w:r w:rsidR="00670DB6">
        <w:rPr>
          <w:rFonts w:cs="Times New Roman"/>
        </w:rPr>
        <w:t>Of the 56 audio issue explanations on retransmission, 31 reported first receiving the test through IPAWS; most cite equipment malfunction as the reason for audio issues with retransmission of the test when first received through IPAWS.</w:t>
      </w:r>
    </w:p>
    <w:p w:rsidR="00EB7FF5" w:rsidRPr="00B57342" w:rsidP="00295D2D" w14:paraId="0AD52410" w14:textId="77777777">
      <w:pPr>
        <w:pStyle w:val="Heading3"/>
      </w:pPr>
      <w:bookmarkStart w:id="413" w:name="_Toc507772343"/>
      <w:bookmarkStart w:id="414" w:name="_Toc507772730"/>
      <w:bookmarkStart w:id="415" w:name="_Toc508315416"/>
      <w:bookmarkStart w:id="416" w:name="_Toc508316001"/>
      <w:bookmarkStart w:id="417" w:name="_Toc511291573"/>
      <w:bookmarkStart w:id="418" w:name="_Toc511292365"/>
      <w:bookmarkStart w:id="419" w:name="_Toc5614051"/>
      <w:r>
        <w:t>Accessibility Issues</w:t>
      </w:r>
      <w:bookmarkEnd w:id="413"/>
      <w:bookmarkEnd w:id="414"/>
      <w:bookmarkEnd w:id="415"/>
      <w:bookmarkEnd w:id="416"/>
      <w:bookmarkEnd w:id="417"/>
      <w:bookmarkEnd w:id="418"/>
      <w:bookmarkEnd w:id="419"/>
    </w:p>
    <w:p w:rsidR="00383AAA" w:rsidP="0009608F" w14:paraId="2DD52E90" w14:textId="6BF1A3A7">
      <w:pPr>
        <w:rPr>
          <w:rFonts w:cs="Times New Roman"/>
          <w:kern w:val="0"/>
        </w:rPr>
      </w:pPr>
      <w:r>
        <w:rPr>
          <w:rFonts w:cs="Times New Roman"/>
        </w:rPr>
        <w:t>Individuals with disabilities and r</w:t>
      </w:r>
      <w:r w:rsidRPr="00785A17" w:rsidR="00033051">
        <w:rPr>
          <w:rFonts w:cs="Times New Roman"/>
        </w:rPr>
        <w:t xml:space="preserve">epresentatives of organizations representing people with disabilities </w:t>
      </w:r>
      <w:r w:rsidR="00033051">
        <w:rPr>
          <w:rFonts w:cs="Times New Roman"/>
        </w:rPr>
        <w:t xml:space="preserve">were invited to </w:t>
      </w:r>
      <w:r w:rsidRPr="00C32047" w:rsidR="00033051">
        <w:rPr>
          <w:rFonts w:cs="Times New Roman"/>
        </w:rPr>
        <w:t xml:space="preserve">electronically </w:t>
      </w:r>
      <w:r w:rsidR="00033051">
        <w:rPr>
          <w:rFonts w:cs="Times New Roman"/>
        </w:rPr>
        <w:t>submit observations</w:t>
      </w:r>
      <w:r w:rsidRPr="00E23F3C" w:rsidR="00033051">
        <w:rPr>
          <w:rFonts w:cs="Times New Roman"/>
        </w:rPr>
        <w:t xml:space="preserve"> in </w:t>
      </w:r>
      <w:r w:rsidR="00FD5775">
        <w:rPr>
          <w:rFonts w:cs="Times New Roman"/>
        </w:rPr>
        <w:t>PSHSB</w:t>
      </w:r>
      <w:r w:rsidRPr="00D55BAA" w:rsidR="00033051">
        <w:rPr>
          <w:rFonts w:cs="Times New Roman"/>
        </w:rPr>
        <w:t xml:space="preserve">’s </w:t>
      </w:r>
      <w:r w:rsidR="00310A78">
        <w:rPr>
          <w:rFonts w:cs="Times New Roman"/>
          <w:kern w:val="0"/>
        </w:rPr>
        <w:t>P</w:t>
      </w:r>
      <w:r w:rsidR="00940CD3">
        <w:rPr>
          <w:rFonts w:cs="Times New Roman"/>
          <w:kern w:val="0"/>
        </w:rPr>
        <w:t xml:space="preserve">ublic </w:t>
      </w:r>
      <w:r w:rsidR="00310A78">
        <w:rPr>
          <w:rFonts w:cs="Times New Roman"/>
          <w:kern w:val="0"/>
        </w:rPr>
        <w:t>S</w:t>
      </w:r>
      <w:r w:rsidR="00940CD3">
        <w:rPr>
          <w:rFonts w:cs="Times New Roman"/>
          <w:kern w:val="0"/>
        </w:rPr>
        <w:t xml:space="preserve">afety </w:t>
      </w:r>
      <w:r w:rsidR="00310A78">
        <w:rPr>
          <w:rFonts w:cs="Times New Roman"/>
          <w:kern w:val="0"/>
        </w:rPr>
        <w:t>S</w:t>
      </w:r>
      <w:r w:rsidR="00940CD3">
        <w:rPr>
          <w:rFonts w:cs="Times New Roman"/>
          <w:kern w:val="0"/>
        </w:rPr>
        <w:t xml:space="preserve">upport </w:t>
      </w:r>
      <w:r w:rsidR="00310A78">
        <w:rPr>
          <w:rFonts w:cs="Times New Roman"/>
          <w:kern w:val="0"/>
        </w:rPr>
        <w:t>C</w:t>
      </w:r>
      <w:r w:rsidR="00940CD3">
        <w:rPr>
          <w:rFonts w:cs="Times New Roman"/>
          <w:kern w:val="0"/>
        </w:rPr>
        <w:t>enter</w:t>
      </w:r>
      <w:r w:rsidRPr="00D965C4" w:rsidR="00033051">
        <w:rPr>
          <w:rFonts w:cs="Times New Roman"/>
          <w:kern w:val="0"/>
        </w:rPr>
        <w:t xml:space="preserve"> </w:t>
      </w:r>
      <w:r w:rsidR="00033051">
        <w:rPr>
          <w:rFonts w:cs="Times New Roman"/>
          <w:kern w:val="0"/>
        </w:rPr>
        <w:t>portal</w:t>
      </w:r>
      <w:r w:rsidR="00167967">
        <w:rPr>
          <w:rFonts w:cs="Times New Roman"/>
          <w:kern w:val="0"/>
        </w:rPr>
        <w:t xml:space="preserve"> regarding complications with accessible alerts</w:t>
      </w:r>
      <w:r w:rsidRPr="00D034E5" w:rsidR="00033051">
        <w:rPr>
          <w:rFonts w:cs="Times New Roman"/>
          <w:kern w:val="0"/>
        </w:rPr>
        <w:t xml:space="preserve">.  </w:t>
      </w:r>
      <w:r>
        <w:rPr>
          <w:rFonts w:cs="Times New Roman"/>
          <w:kern w:val="0"/>
        </w:rPr>
        <w:t xml:space="preserve">Informal feedback was also obtained from input directly emailed to the Commission.  </w:t>
      </w:r>
      <w:r w:rsidR="00033051">
        <w:rPr>
          <w:rFonts w:cs="Times New Roman"/>
          <w:kern w:val="0"/>
        </w:rPr>
        <w:t xml:space="preserve">Filers </w:t>
      </w:r>
      <w:r w:rsidRPr="00C01B45" w:rsidR="00033051">
        <w:rPr>
          <w:rFonts w:cs="Times New Roman"/>
          <w:kern w:val="0"/>
        </w:rPr>
        <w:t>noted</w:t>
      </w:r>
      <w:r w:rsidRPr="00FE30CC" w:rsidR="00033051">
        <w:rPr>
          <w:rFonts w:cs="Times New Roman"/>
          <w:kern w:val="0"/>
        </w:rPr>
        <w:t xml:space="preserve"> that</w:t>
      </w:r>
      <w:r w:rsidRPr="00611C1A" w:rsidR="00033051">
        <w:rPr>
          <w:rFonts w:cs="Times New Roman"/>
          <w:kern w:val="0"/>
        </w:rPr>
        <w:t xml:space="preserve"> </w:t>
      </w:r>
      <w:r w:rsidRPr="00F427BF" w:rsidR="00033051">
        <w:rPr>
          <w:rFonts w:cs="Times New Roman"/>
          <w:kern w:val="0"/>
        </w:rPr>
        <w:t xml:space="preserve">the </w:t>
      </w:r>
      <w:r w:rsidRPr="00F427BF" w:rsidR="00033051">
        <w:rPr>
          <w:rFonts w:cs="Times New Roman"/>
          <w:kern w:val="0"/>
        </w:rPr>
        <w:t>manner in which</w:t>
      </w:r>
      <w:r w:rsidRPr="00F427BF" w:rsidR="00033051">
        <w:rPr>
          <w:rFonts w:cs="Times New Roman"/>
          <w:kern w:val="0"/>
        </w:rPr>
        <w:t xml:space="preserve"> the EAS</w:t>
      </w:r>
      <w:r w:rsidRPr="00262A19" w:rsidR="00033051">
        <w:rPr>
          <w:rFonts w:cs="Times New Roman"/>
          <w:kern w:val="0"/>
        </w:rPr>
        <w:t xml:space="preserve"> </w:t>
      </w:r>
      <w:r w:rsidR="00703FE6">
        <w:rPr>
          <w:rFonts w:cs="Times New Roman"/>
          <w:kern w:val="0"/>
        </w:rPr>
        <w:t>t</w:t>
      </w:r>
      <w:r w:rsidRPr="00262A19" w:rsidR="00033051">
        <w:rPr>
          <w:rFonts w:cs="Times New Roman"/>
          <w:kern w:val="0"/>
        </w:rPr>
        <w:t xml:space="preserve">est was displayed in some cases may </w:t>
      </w:r>
      <w:r w:rsidR="00033051">
        <w:rPr>
          <w:rFonts w:cs="Times New Roman"/>
          <w:kern w:val="0"/>
        </w:rPr>
        <w:t>not be accessible to people with disabilities</w:t>
      </w:r>
      <w:r w:rsidRPr="003F7CA1" w:rsidR="00033051">
        <w:rPr>
          <w:rFonts w:cs="Times New Roman"/>
          <w:kern w:val="0"/>
        </w:rPr>
        <w:t>.</w:t>
      </w:r>
      <w:r>
        <w:rPr>
          <w:rStyle w:val="FootnoteReference"/>
          <w:kern w:val="0"/>
        </w:rPr>
        <w:footnoteReference w:id="92"/>
      </w:r>
      <w:r w:rsidRPr="00785A17" w:rsidR="00033051">
        <w:rPr>
          <w:rFonts w:cs="Times New Roman"/>
          <w:kern w:val="0"/>
        </w:rPr>
        <w:t xml:space="preserve">  </w:t>
      </w:r>
      <w:r w:rsidRPr="00383AAA" w:rsidR="006508D1">
        <w:rPr>
          <w:rFonts w:cs="Times New Roman"/>
          <w:kern w:val="0"/>
        </w:rPr>
        <w:t xml:space="preserve">Specifically, text crawls were often reported as being too fast and unreadable, overlapping with closed captions, and displaying poor color contrast; and the audio was often reported as being of poor quality or absent.  </w:t>
      </w:r>
      <w:r>
        <w:rPr>
          <w:rFonts w:cs="Times New Roman"/>
          <w:kern w:val="0"/>
        </w:rPr>
        <w:t>Overall, t</w:t>
      </w:r>
      <w:r w:rsidRPr="00383AAA">
        <w:rPr>
          <w:rFonts w:cs="Times New Roman"/>
          <w:kern w:val="0"/>
        </w:rPr>
        <w:t xml:space="preserve">he issues raised largely mirrored those identified in the </w:t>
      </w:r>
      <w:r w:rsidRPr="00383AAA">
        <w:rPr>
          <w:rFonts w:cs="Times New Roman"/>
          <w:i/>
          <w:kern w:val="0"/>
        </w:rPr>
        <w:t>2017 Nationwide EAS Test Report</w:t>
      </w:r>
      <w:r w:rsidRPr="00383AAA">
        <w:rPr>
          <w:rFonts w:cs="Times New Roman"/>
          <w:kern w:val="0"/>
        </w:rPr>
        <w:t>.</w:t>
      </w:r>
      <w:r>
        <w:rPr>
          <w:rFonts w:cs="Times New Roman"/>
          <w:kern w:val="0"/>
          <w:vertAlign w:val="superscript"/>
        </w:rPr>
        <w:footnoteReference w:id="93"/>
      </w:r>
      <w:r>
        <w:rPr>
          <w:rFonts w:cs="Times New Roman"/>
          <w:kern w:val="0"/>
        </w:rPr>
        <w:t xml:space="preserve">  </w:t>
      </w:r>
    </w:p>
    <w:p w:rsidR="00405018" w:rsidP="0009608F" w14:paraId="66681F5B" w14:textId="77777777">
      <w:pPr>
        <w:rPr>
          <w:rFonts w:cs="Times New Roman"/>
          <w:kern w:val="0"/>
        </w:rPr>
      </w:pPr>
    </w:p>
    <w:p w:rsidR="00B47670" w:rsidP="000C0270" w14:paraId="4387C61E" w14:textId="77777777">
      <w:pPr>
        <w:pStyle w:val="Heading1"/>
      </w:pPr>
      <w:bookmarkStart w:id="420" w:name="_Toc5614052"/>
      <w:r>
        <w:t>Next steps</w:t>
      </w:r>
      <w:bookmarkStart w:id="421" w:name="_Hlk508731284"/>
      <w:bookmarkEnd w:id="420"/>
    </w:p>
    <w:p w:rsidR="0048120F" w:rsidP="00405018" w14:paraId="4AC8417E" w14:textId="269274E2">
      <w:pPr>
        <w:spacing w:after="120"/>
      </w:pPr>
      <w:bookmarkStart w:id="422" w:name="_Toc507772347"/>
      <w:bookmarkStart w:id="423" w:name="_Toc507772734"/>
      <w:bookmarkStart w:id="424" w:name="_Toc508315418"/>
      <w:bookmarkStart w:id="425" w:name="_Toc508316003"/>
      <w:bookmarkEnd w:id="421"/>
      <w:r>
        <w:t xml:space="preserve">The Commission places the highest priority on ensuring that emergency management authorities and first responders have effective emergency alerting tools.  In this regard, </w:t>
      </w:r>
      <w:r w:rsidR="00D8531F">
        <w:t>and informed by the 2017 nationwide EAS test results, t</w:t>
      </w:r>
      <w:r>
        <w:t xml:space="preserve">he Bureau has taken steps to improve </w:t>
      </w:r>
      <w:r w:rsidR="00D8531F">
        <w:t>the delivery of alerts</w:t>
      </w:r>
      <w:r>
        <w:t xml:space="preserve">.  </w:t>
      </w:r>
      <w:r>
        <w:t>Over</w:t>
      </w:r>
      <w:r>
        <w:t xml:space="preserve"> the past year, PSHSB has held an alerting workshop with FEMA and a webinar with the FCC’s Office of Intergovernmental Affairs that </w:t>
      </w:r>
      <w:r w:rsidR="00D8531F">
        <w:t>provided information about</w:t>
      </w:r>
      <w:r>
        <w:t xml:space="preserve"> alerting best practices, </w:t>
      </w:r>
      <w:r w:rsidR="00D8531F">
        <w:t xml:space="preserve">including </w:t>
      </w:r>
      <w:r>
        <w:t>the importance of keeping EAS equipment and its software up-to-date.</w:t>
      </w:r>
      <w:r>
        <w:rPr>
          <w:rStyle w:val="FootnoteReference"/>
        </w:rPr>
        <w:footnoteReference w:id="94"/>
      </w:r>
      <w:r>
        <w:t xml:space="preserve">  We also revised ETRS Form Three to address accessibility of the test for people with disabilities and </w:t>
      </w:r>
      <w:r w:rsidR="001D218C">
        <w:t>followed up</w:t>
      </w:r>
      <w:r>
        <w:t xml:space="preserve"> with broadcast stations with noted captioning issues.  </w:t>
      </w:r>
      <w:r w:rsidR="00D8531F">
        <w:t>The</w:t>
      </w:r>
      <w:r>
        <w:t xml:space="preserve"> 2</w:t>
      </w:r>
      <w:r w:rsidRPr="00B47670">
        <w:t>01</w:t>
      </w:r>
      <w:r>
        <w:t>8</w:t>
      </w:r>
      <w:r w:rsidRPr="00B47670">
        <w:t xml:space="preserve"> test results </w:t>
      </w:r>
      <w:r>
        <w:t xml:space="preserve">indicate that EAS Participants have improved in their ability to successfully alert the public using the EAS, particularly through the increase in test participants who first received the alert through IPAWS.  </w:t>
      </w:r>
    </w:p>
    <w:p w:rsidR="00D8531F" w:rsidP="00405018" w14:paraId="7F855B62" w14:textId="5384A360">
      <w:pPr>
        <w:spacing w:after="120"/>
      </w:pPr>
      <w:bookmarkStart w:id="426" w:name="_Hlk3548256"/>
      <w:r>
        <w:t xml:space="preserve">To help address remaining areas for improvement, PSHSB </w:t>
      </w:r>
      <w:r w:rsidR="003A4A84">
        <w:t>should</w:t>
      </w:r>
      <w:r>
        <w:t xml:space="preserve"> </w:t>
      </w:r>
      <w:r w:rsidR="00216A32">
        <w:t xml:space="preserve">conduct targeted outreach to address commonly reported </w:t>
      </w:r>
      <w:r w:rsidR="0048120F">
        <w:t xml:space="preserve">operational </w:t>
      </w:r>
      <w:r w:rsidR="00216A32">
        <w:t>complications and to improve participation in the nationwide test</w:t>
      </w:r>
      <w:r w:rsidR="003A4A84">
        <w:t>.  In particular, PSHSB should:</w:t>
      </w:r>
    </w:p>
    <w:p w:rsidR="00216A32" w:rsidP="00216A32" w14:paraId="3A0FABEC" w14:textId="370ECFFB">
      <w:pPr>
        <w:pStyle w:val="ListParagraph"/>
        <w:numPr>
          <w:ilvl w:val="0"/>
          <w:numId w:val="5"/>
        </w:numPr>
        <w:spacing w:after="120"/>
      </w:pPr>
      <w:r>
        <w:t>Provide guidance, such as through Public Notices and direct follow-up with EAS Participants, to improve the accuracy of reporting in ETRS and to address commonly reported complications, such as the importance of software updates and proper equipment configuration, and following State EAS Plan monitoring assignments.</w:t>
      </w:r>
    </w:p>
    <w:p w:rsidR="00216A32" w:rsidRPr="00FC577D" w:rsidP="00216A32" w14:paraId="0643572D" w14:textId="36A14F68">
      <w:pPr>
        <w:pStyle w:val="ListParagraph"/>
        <w:numPr>
          <w:ilvl w:val="0"/>
          <w:numId w:val="5"/>
        </w:numPr>
        <w:spacing w:after="120"/>
      </w:pPr>
      <w:bookmarkStart w:id="427" w:name="_Hlk3992966"/>
      <w:r>
        <w:t xml:space="preserve">Promote accessibility through </w:t>
      </w:r>
      <w:bookmarkEnd w:id="427"/>
      <w:r>
        <w:t>continued outreach to EAS Participants, particularly those</w:t>
      </w:r>
      <w:r w:rsidRPr="00B47670">
        <w:t xml:space="preserve"> referenced in</w:t>
      </w:r>
      <w:r>
        <w:t xml:space="preserve"> filings with the</w:t>
      </w:r>
      <w:r w:rsidRPr="00B47670">
        <w:t xml:space="preserve"> </w:t>
      </w:r>
      <w:r w:rsidRPr="00D965C4">
        <w:rPr>
          <w:rFonts w:cs="Times New Roman"/>
          <w:kern w:val="0"/>
        </w:rPr>
        <w:t xml:space="preserve">Public Safety Support Center </w:t>
      </w:r>
      <w:r w:rsidRPr="00B47670">
        <w:t>and other Commission records</w:t>
      </w:r>
      <w:r>
        <w:t>,</w:t>
      </w:r>
      <w:r w:rsidRPr="00B47670">
        <w:t xml:space="preserve"> to ensure future coordination of alert crawl with closed captioning</w:t>
      </w:r>
      <w:r>
        <w:t xml:space="preserve">, and to ensure future EAS messages are provided with appropriate crawl speed for readability, high contrast text and background colors, and adequate audio quality.  Issue a Public Notice to remind EAS Participants about the relevant rules and best practices to provide accessible EAS alerts.  </w:t>
      </w:r>
      <w:r w:rsidR="00644CD6">
        <w:t>Explore me</w:t>
      </w:r>
      <w:r w:rsidR="005536A2">
        <w:t>chanism</w:t>
      </w:r>
      <w:r w:rsidR="00644CD6">
        <w:t>s to improve</w:t>
      </w:r>
      <w:r>
        <w:t xml:space="preserve"> feedback solicitation and collection for both the public and in ETRS regarding accessibility issues for non-English speakers and people with </w:t>
      </w:r>
      <w:r w:rsidRPr="00FC577D">
        <w:t>disabilities.</w:t>
      </w:r>
      <w:r>
        <w:t xml:space="preserve">  </w:t>
      </w:r>
      <w:bookmarkStart w:id="428" w:name="_Hlk5025070"/>
    </w:p>
    <w:bookmarkEnd w:id="428"/>
    <w:p w:rsidR="000471BF" w:rsidP="000471BF" w14:paraId="6074160A" w14:textId="1876BCF8">
      <w:pPr>
        <w:pStyle w:val="ListParagraph"/>
        <w:numPr>
          <w:ilvl w:val="0"/>
          <w:numId w:val="5"/>
        </w:numPr>
        <w:spacing w:after="120"/>
      </w:pPr>
      <w:r>
        <w:t xml:space="preserve">Reach </w:t>
      </w:r>
      <w:r>
        <w:t>out to Low Power broadcasters through a variety of means, including directed mailings</w:t>
      </w:r>
      <w:r>
        <w:t xml:space="preserve"> and a webinar, to improve their</w:t>
      </w:r>
      <w:r w:rsidRPr="00937A20">
        <w:t xml:space="preserve"> participation in the </w:t>
      </w:r>
      <w:r>
        <w:t>n</w:t>
      </w:r>
      <w:r w:rsidRPr="00937A20">
        <w:t xml:space="preserve">ationwide EAS </w:t>
      </w:r>
      <w:r>
        <w:t>t</w:t>
      </w:r>
      <w:r w:rsidRPr="00937A20">
        <w:t>est</w:t>
      </w:r>
      <w:r w:rsidR="00357F24">
        <w:t>.</w:t>
      </w:r>
    </w:p>
    <w:p w:rsidR="00E8447B" w:rsidP="00792CFF" w14:paraId="607E5C6A" w14:textId="0D0EF4B6">
      <w:pPr>
        <w:spacing w:after="120"/>
      </w:pPr>
      <w:bookmarkStart w:id="429" w:name="_Hlk5022196"/>
      <w:r>
        <w:t xml:space="preserve">2018 </w:t>
      </w:r>
      <w:r w:rsidR="00792CFF">
        <w:t xml:space="preserve">marked </w:t>
      </w:r>
      <w:r>
        <w:t>the first nationwide test of WEA</w:t>
      </w:r>
      <w:r w:rsidR="00792CFF">
        <w:t xml:space="preserve">.  Based on the reports of inconsistent WEA delivery and performance during the nationwide test, the Bureau recommends that additional measures be taken to </w:t>
      </w:r>
      <w:r>
        <w:t>improve the reliability and effectiveness of WE</w:t>
      </w:r>
      <w:r>
        <w:t>A:</w:t>
      </w:r>
      <w:r w:rsidR="00792CFF">
        <w:t xml:space="preserve">  </w:t>
      </w:r>
    </w:p>
    <w:p w:rsidR="00E8447B" w:rsidRPr="00E8447B" w:rsidP="00E8447B" w14:paraId="6AAC4617" w14:textId="682C67C4">
      <w:pPr>
        <w:pStyle w:val="ListParagraph"/>
        <w:numPr>
          <w:ilvl w:val="0"/>
          <w:numId w:val="15"/>
        </w:numPr>
        <w:spacing w:after="120"/>
        <w:rPr>
          <w:rFonts w:eastAsia="Times New Roman" w:cs="Calibri"/>
          <w:bCs w:val="0"/>
          <w:kern w:val="0"/>
          <w:szCs w:val="22"/>
          <w:lang w:eastAsia="en-US"/>
        </w:rPr>
      </w:pPr>
      <w:r>
        <w:t xml:space="preserve">PSHSB </w:t>
      </w:r>
      <w:r w:rsidR="00792CFF">
        <w:t xml:space="preserve">notes that the Commission </w:t>
      </w:r>
      <w:r>
        <w:t xml:space="preserve">is currently </w:t>
      </w:r>
      <w:r w:rsidR="00792CFF">
        <w:t xml:space="preserve">examining </w:t>
      </w:r>
      <w:r>
        <w:t xml:space="preserve">issues related to </w:t>
      </w:r>
      <w:r w:rsidR="00792CFF">
        <w:t xml:space="preserve">measuring and reporting of WEA performance, </w:t>
      </w:r>
      <w:r>
        <w:t>including whether to adopt standards or benchmarks for WEA performance and delivery.</w:t>
      </w:r>
      <w:r>
        <w:rPr>
          <w:rStyle w:val="FootnoteReference"/>
        </w:rPr>
        <w:footnoteReference w:id="95"/>
      </w:r>
      <w:r w:rsidR="00B763E3">
        <w:t xml:space="preserve"> </w:t>
      </w:r>
      <w:r>
        <w:t xml:space="preserve"> While PSHSB does not want to prejudge the pending proceeding before the Commission, PSHSB recommends the Commission consider the WEA test performance survey results in its assessment of next steps.  Accordingly, PSHSB will place the </w:t>
      </w:r>
      <w:r w:rsidRPr="00BD25B7" w:rsidR="00BD25B7">
        <w:t>relevant</w:t>
      </w:r>
      <w:r>
        <w:t xml:space="preserve"> surveys in the associated docket for that proceeding.</w:t>
      </w:r>
      <w:r w:rsidR="00B763E3">
        <w:t xml:space="preserve"> </w:t>
      </w:r>
      <w:r>
        <w:t xml:space="preserve"> </w:t>
      </w:r>
      <w:r w:rsidR="00044175">
        <w:t>PSHSB also recommends issuing a Public Notice letting the public know that PSHSB is putting the material from the nationwide test in the docketed proceeding and seeking comment on the survey results. </w:t>
      </w:r>
    </w:p>
    <w:p w:rsidR="00E8447B" w:rsidRPr="00E8447B" w:rsidP="00E8447B" w14:paraId="6E09DCA9" w14:textId="266004FE">
      <w:pPr>
        <w:pStyle w:val="ListParagraph"/>
        <w:numPr>
          <w:ilvl w:val="0"/>
          <w:numId w:val="15"/>
        </w:numPr>
        <w:spacing w:after="120"/>
        <w:rPr>
          <w:rFonts w:eastAsia="Times New Roman" w:cs="Calibri"/>
          <w:bCs w:val="0"/>
          <w:kern w:val="0"/>
          <w:szCs w:val="22"/>
          <w:lang w:eastAsia="en-US"/>
        </w:rPr>
      </w:pPr>
      <w:r>
        <w:t>PSHSB</w:t>
      </w:r>
      <w:r w:rsidR="00D05C49">
        <w:t xml:space="preserve"> recommend</w:t>
      </w:r>
      <w:r w:rsidR="000471BF">
        <w:t>s</w:t>
      </w:r>
      <w:r w:rsidR="00D05C49">
        <w:t xml:space="preserve"> that the Commission continue to develop tools for </w:t>
      </w:r>
      <w:r>
        <w:t>alert originators</w:t>
      </w:r>
      <w:r w:rsidR="00D05C49">
        <w:t xml:space="preserve"> to use WEA </w:t>
      </w:r>
      <w:r>
        <w:t>more effectively</w:t>
      </w:r>
      <w:r w:rsidR="00D05C49">
        <w:t xml:space="preserve">, </w:t>
      </w:r>
      <w:r>
        <w:t xml:space="preserve">such as the development of a WEA database that provides information on the availability of WEA within their jurisdictions.  </w:t>
      </w:r>
    </w:p>
    <w:p w:rsidR="008F1125" w:rsidRPr="00E8447B" w:rsidP="00E8447B" w14:paraId="0B632659" w14:textId="2E4EC651">
      <w:pPr>
        <w:pStyle w:val="ListParagraph"/>
        <w:numPr>
          <w:ilvl w:val="0"/>
          <w:numId w:val="15"/>
        </w:numPr>
        <w:spacing w:after="120"/>
        <w:rPr>
          <w:rFonts w:eastAsia="Times New Roman" w:cs="Calibri"/>
          <w:bCs w:val="0"/>
          <w:kern w:val="0"/>
          <w:szCs w:val="22"/>
          <w:lang w:eastAsia="en-US"/>
        </w:rPr>
      </w:pPr>
      <w:bookmarkStart w:id="430" w:name="_Hlk5019451"/>
      <w:r w:rsidRPr="00E8447B">
        <w:rPr>
          <w:rFonts w:eastAsia="Times New Roman"/>
        </w:rPr>
        <w:t>PSHSB recommends exploring potential opportunities with state and local alert originators to determine alternative means for gathering and assessing data regarding WEA delivery.</w:t>
      </w:r>
    </w:p>
    <w:bookmarkEnd w:id="429"/>
    <w:bookmarkEnd w:id="430"/>
    <w:p w:rsidR="00405018" w:rsidP="00405018" w14:paraId="5230CB97" w14:textId="3732D241">
      <w:pPr>
        <w:spacing w:after="120"/>
      </w:pPr>
      <w:r>
        <w:t xml:space="preserve">PSHSB has also identified </w:t>
      </w:r>
      <w:r w:rsidR="00216A32">
        <w:t>discrete</w:t>
      </w:r>
      <w:r w:rsidR="0048120F">
        <w:t xml:space="preserve"> </w:t>
      </w:r>
      <w:r w:rsidR="00044175">
        <w:t xml:space="preserve">WEA </w:t>
      </w:r>
      <w:r w:rsidR="0048120F">
        <w:t>operational</w:t>
      </w:r>
      <w:r w:rsidR="00216A32">
        <w:t xml:space="preserve"> issues</w:t>
      </w:r>
      <w:r>
        <w:t xml:space="preserve"> that can be improved upon.  </w:t>
      </w:r>
      <w:r>
        <w:t>Accordingly, over the next year, PSHSB will:</w:t>
      </w:r>
    </w:p>
    <w:p w:rsidR="00405018" w:rsidP="00405018" w14:paraId="34FF4130" w14:textId="77777777">
      <w:pPr>
        <w:pStyle w:val="ListParagraph"/>
        <w:numPr>
          <w:ilvl w:val="0"/>
          <w:numId w:val="10"/>
        </w:numPr>
        <w:spacing w:after="120"/>
      </w:pPr>
      <w:bookmarkStart w:id="431" w:name="_Hlk3542378"/>
      <w:bookmarkStart w:id="432" w:name="_Hlk3548218"/>
      <w:r>
        <w:t>Work with wireless carriers serving Guam, American Samoa, and the Commonwealth of the Northern Mariana Islands to encourage and facilitate their election to participate in WEA.</w:t>
      </w:r>
    </w:p>
    <w:bookmarkEnd w:id="426"/>
    <w:bookmarkEnd w:id="431"/>
    <w:p w:rsidR="001B63D2" w:rsidP="00B6354B" w14:paraId="6AFD27EA" w14:textId="3E4CE438">
      <w:pPr>
        <w:pStyle w:val="ListParagraph"/>
        <w:numPr>
          <w:ilvl w:val="0"/>
          <w:numId w:val="10"/>
        </w:numPr>
        <w:spacing w:after="120"/>
      </w:pPr>
      <w:r>
        <w:t>Conduct outreach to wireless providers to ensure the presence and delivery of the required WEA audio tone and vibration cadence</w:t>
      </w:r>
      <w:r w:rsidR="003A78E9">
        <w:t xml:space="preserve"> to ensure that such alerts are accessible to individuals with disabilities.</w:t>
      </w:r>
    </w:p>
    <w:p w:rsidR="00FD7BD1" w:rsidP="0088527F" w14:paraId="735A4E53" w14:textId="746DEF0B">
      <w:bookmarkStart w:id="433" w:name="_Toc507772349"/>
      <w:bookmarkStart w:id="434" w:name="_Toc507772736"/>
      <w:bookmarkStart w:id="435" w:name="_Toc507772351"/>
      <w:bookmarkStart w:id="436" w:name="_Toc507772738"/>
      <w:bookmarkStart w:id="437" w:name="_Toc507772352"/>
      <w:bookmarkStart w:id="438" w:name="_Toc507772739"/>
      <w:bookmarkStart w:id="439" w:name="_Toc507772354"/>
      <w:bookmarkStart w:id="440" w:name="_Toc507772741"/>
      <w:bookmarkEnd w:id="422"/>
      <w:bookmarkEnd w:id="423"/>
      <w:bookmarkEnd w:id="424"/>
      <w:bookmarkEnd w:id="425"/>
      <w:bookmarkEnd w:id="432"/>
      <w:bookmarkEnd w:id="433"/>
      <w:bookmarkEnd w:id="434"/>
      <w:bookmarkEnd w:id="435"/>
      <w:bookmarkEnd w:id="436"/>
      <w:bookmarkEnd w:id="437"/>
      <w:bookmarkEnd w:id="438"/>
      <w:bookmarkEnd w:id="439"/>
      <w:bookmarkEnd w:id="440"/>
    </w:p>
    <w:p w:rsidR="00343A2C" w:rsidRPr="006C24F7" w:rsidP="00CC2721" w14:paraId="6A7BC381" w14:textId="77777777">
      <w:pPr>
        <w:pStyle w:val="Heading1"/>
        <w:numPr>
          <w:ilvl w:val="0"/>
          <w:numId w:val="8"/>
        </w:numPr>
      </w:pPr>
      <w:bookmarkStart w:id="441" w:name="_Toc507772743"/>
      <w:bookmarkStart w:id="442" w:name="_Toc507171687"/>
      <w:bookmarkStart w:id="443" w:name="_Toc477433290"/>
      <w:bookmarkStart w:id="444" w:name="_Toc479002033"/>
      <w:bookmarkStart w:id="445" w:name="_Toc477433489"/>
      <w:bookmarkStart w:id="446" w:name="_Toc507169484"/>
      <w:bookmarkStart w:id="447" w:name="_Toc507169613"/>
      <w:bookmarkStart w:id="448" w:name="_Toc507169946"/>
      <w:bookmarkStart w:id="449" w:name="_Toc507170382"/>
      <w:bookmarkStart w:id="450" w:name="_Toc507170728"/>
      <w:bookmarkStart w:id="451" w:name="_Toc507772356"/>
      <w:bookmarkStart w:id="452" w:name="_Toc508315420"/>
      <w:bookmarkStart w:id="453" w:name="_Toc508316005"/>
      <w:bookmarkStart w:id="454" w:name="start_from_here"/>
      <w:bookmarkStart w:id="455" w:name="_Toc511291577"/>
      <w:bookmarkStart w:id="456" w:name="_Toc511292369"/>
      <w:bookmarkStart w:id="457" w:name="_Toc5614053"/>
      <w:r w:rsidRPr="00085542">
        <w:t>CONCLUSION</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183994" w:rsidRPr="00183994" w:rsidP="00F27A28" w14:paraId="290827B9" w14:textId="218E6950">
      <w:pPr>
        <w:spacing w:after="120"/>
        <w:rPr>
          <w:rFonts w:cs="Times New Roman"/>
        </w:rPr>
      </w:pPr>
      <w:r w:rsidRPr="00785A17">
        <w:rPr>
          <w:rFonts w:cs="Times New Roman"/>
        </w:rPr>
        <w:t>The 201</w:t>
      </w:r>
      <w:r w:rsidR="00857862">
        <w:rPr>
          <w:rFonts w:cs="Times New Roman"/>
        </w:rPr>
        <w:t>8</w:t>
      </w:r>
      <w:r w:rsidRPr="00E23F3C">
        <w:rPr>
          <w:rFonts w:cs="Times New Roman"/>
        </w:rPr>
        <w:t xml:space="preserve"> </w:t>
      </w:r>
      <w:r w:rsidR="00F2575F">
        <w:rPr>
          <w:rFonts w:cs="Times New Roman"/>
        </w:rPr>
        <w:t>n</w:t>
      </w:r>
      <w:r w:rsidRPr="00E23F3C">
        <w:rPr>
          <w:rFonts w:cs="Times New Roman"/>
        </w:rPr>
        <w:t xml:space="preserve">ationwide </w:t>
      </w:r>
      <w:r w:rsidR="00857862">
        <w:rPr>
          <w:rFonts w:cs="Times New Roman"/>
        </w:rPr>
        <w:t>WEA</w:t>
      </w:r>
      <w:r w:rsidR="0000574F">
        <w:rPr>
          <w:rFonts w:cs="Times New Roman"/>
        </w:rPr>
        <w:t xml:space="preserve"> and EAS</w:t>
      </w:r>
      <w:r w:rsidR="00857862">
        <w:rPr>
          <w:rFonts w:cs="Times New Roman"/>
        </w:rPr>
        <w:t xml:space="preserve"> </w:t>
      </w:r>
      <w:r w:rsidR="00F2575F">
        <w:rPr>
          <w:rFonts w:cs="Times New Roman"/>
        </w:rPr>
        <w:t>t</w:t>
      </w:r>
      <w:r w:rsidRPr="00E23F3C">
        <w:rPr>
          <w:rFonts w:cs="Times New Roman"/>
        </w:rPr>
        <w:t xml:space="preserve">est </w:t>
      </w:r>
      <w:r w:rsidR="00E13A95">
        <w:rPr>
          <w:rFonts w:cs="Times New Roman"/>
        </w:rPr>
        <w:t xml:space="preserve">successfully </w:t>
      </w:r>
      <w:r w:rsidRPr="00E23F3C">
        <w:rPr>
          <w:rFonts w:cs="Times New Roman"/>
        </w:rPr>
        <w:t>demonstrat</w:t>
      </w:r>
      <w:r w:rsidR="00E13A95">
        <w:rPr>
          <w:rFonts w:cs="Times New Roman"/>
        </w:rPr>
        <w:t>ed</w:t>
      </w:r>
      <w:r w:rsidRPr="00E23F3C">
        <w:rPr>
          <w:rFonts w:cs="Times New Roman"/>
        </w:rPr>
        <w:t xml:space="preserve"> </w:t>
      </w:r>
      <w:r w:rsidR="00A03A85">
        <w:rPr>
          <w:rFonts w:cs="Times New Roman"/>
        </w:rPr>
        <w:t xml:space="preserve">the effectiveness of </w:t>
      </w:r>
      <w:r w:rsidR="00464BA7">
        <w:rPr>
          <w:rFonts w:cs="Times New Roman"/>
        </w:rPr>
        <w:t xml:space="preserve">WEA </w:t>
      </w:r>
      <w:r w:rsidR="0000574F">
        <w:rPr>
          <w:rFonts w:cs="Times New Roman"/>
        </w:rPr>
        <w:t xml:space="preserve">and the EAS </w:t>
      </w:r>
      <w:r w:rsidR="00A03A85">
        <w:rPr>
          <w:rFonts w:cs="Times New Roman"/>
        </w:rPr>
        <w:t xml:space="preserve">as </w:t>
      </w:r>
      <w:r w:rsidR="00464BA7">
        <w:rPr>
          <w:rFonts w:cs="Times New Roman"/>
        </w:rPr>
        <w:t>nation</w:t>
      </w:r>
      <w:r w:rsidR="00A03A85">
        <w:rPr>
          <w:rFonts w:cs="Times New Roman"/>
        </w:rPr>
        <w:t>wide</w:t>
      </w:r>
      <w:r w:rsidR="00464BA7">
        <w:rPr>
          <w:rFonts w:cs="Times New Roman"/>
        </w:rPr>
        <w:t xml:space="preserve"> alerting tools</w:t>
      </w:r>
      <w:r w:rsidR="00A03A85">
        <w:rPr>
          <w:rFonts w:cs="Times New Roman"/>
        </w:rPr>
        <w:t xml:space="preserve">, as well as the capability of IPAWS to disseminate </w:t>
      </w:r>
      <w:r w:rsidR="00050415">
        <w:rPr>
          <w:rFonts w:cs="Times New Roman"/>
        </w:rPr>
        <w:t>these</w:t>
      </w:r>
      <w:r w:rsidR="00A03A85">
        <w:rPr>
          <w:rFonts w:cs="Times New Roman"/>
        </w:rPr>
        <w:t xml:space="preserve"> alerts to the public through </w:t>
      </w:r>
      <w:r w:rsidRPr="00A03A85" w:rsidR="00A03A85">
        <w:rPr>
          <w:rFonts w:cs="Times New Roman"/>
        </w:rPr>
        <w:t>the nation’s alert and warning infrastructure</w:t>
      </w:r>
      <w:r w:rsidR="00A03A85">
        <w:rPr>
          <w:rFonts w:cs="Times New Roman"/>
        </w:rPr>
        <w:t>.</w:t>
      </w:r>
    </w:p>
    <w:p w:rsidR="00C36244" w:rsidP="00343A2C" w14:paraId="38E8A159" w14:textId="429FD404">
      <w:pPr>
        <w:spacing w:after="120"/>
        <w:rPr>
          <w:rFonts w:cs="Times New Roman"/>
        </w:rPr>
      </w:pPr>
      <w:r w:rsidRPr="007D131B">
        <w:rPr>
          <w:rFonts w:cs="Times New Roman"/>
        </w:rPr>
        <w:t>Th</w:t>
      </w:r>
      <w:r w:rsidRPr="007D131B" w:rsidR="00D3192E">
        <w:rPr>
          <w:rFonts w:cs="Times New Roman"/>
        </w:rPr>
        <w:t xml:space="preserve">is year’s </w:t>
      </w:r>
      <w:r w:rsidRPr="007D131B">
        <w:rPr>
          <w:rFonts w:cs="Times New Roman"/>
        </w:rPr>
        <w:t xml:space="preserve">test also highlights several areas in which </w:t>
      </w:r>
      <w:r w:rsidR="00183994">
        <w:rPr>
          <w:rFonts w:cs="Times New Roman"/>
        </w:rPr>
        <w:t xml:space="preserve">WEA </w:t>
      </w:r>
      <w:r w:rsidR="0000574F">
        <w:rPr>
          <w:rFonts w:cs="Times New Roman"/>
        </w:rPr>
        <w:t xml:space="preserve">and the EAS </w:t>
      </w:r>
      <w:r w:rsidRPr="007D131B">
        <w:rPr>
          <w:rFonts w:cs="Times New Roman"/>
        </w:rPr>
        <w:t xml:space="preserve">can continue </w:t>
      </w:r>
      <w:r w:rsidRPr="007D131B" w:rsidR="00E10B0C">
        <w:rPr>
          <w:rFonts w:cs="Times New Roman"/>
        </w:rPr>
        <w:t xml:space="preserve">to </w:t>
      </w:r>
      <w:r w:rsidRPr="007D131B">
        <w:rPr>
          <w:rFonts w:cs="Times New Roman"/>
        </w:rPr>
        <w:t xml:space="preserve">improve.  PSHSB will continue to work with FEMA, </w:t>
      </w:r>
      <w:r w:rsidRPr="00694A59" w:rsidR="009A1D2C">
        <w:rPr>
          <w:rFonts w:cs="Times New Roman"/>
        </w:rPr>
        <w:t>the S</w:t>
      </w:r>
      <w:r w:rsidR="00183994">
        <w:rPr>
          <w:rFonts w:cs="Times New Roman"/>
        </w:rPr>
        <w:t xml:space="preserve">tate </w:t>
      </w:r>
      <w:r w:rsidRPr="00694A59" w:rsidR="009A1D2C">
        <w:rPr>
          <w:rFonts w:cs="Times New Roman"/>
        </w:rPr>
        <w:t>E</w:t>
      </w:r>
      <w:r w:rsidR="00183994">
        <w:rPr>
          <w:rFonts w:cs="Times New Roman"/>
        </w:rPr>
        <w:t xml:space="preserve">mergency </w:t>
      </w:r>
      <w:r w:rsidRPr="00694A59" w:rsidR="009A1D2C">
        <w:rPr>
          <w:rFonts w:cs="Times New Roman"/>
        </w:rPr>
        <w:t>C</w:t>
      </w:r>
      <w:r w:rsidR="00183994">
        <w:rPr>
          <w:rFonts w:cs="Times New Roman"/>
        </w:rPr>
        <w:t xml:space="preserve">ommunications </w:t>
      </w:r>
      <w:r w:rsidRPr="00694A59" w:rsidR="009A1D2C">
        <w:rPr>
          <w:rFonts w:cs="Times New Roman"/>
        </w:rPr>
        <w:t>C</w:t>
      </w:r>
      <w:r w:rsidR="00183994">
        <w:rPr>
          <w:rFonts w:cs="Times New Roman"/>
        </w:rPr>
        <w:t>ommittee</w:t>
      </w:r>
      <w:r w:rsidRPr="00694A59" w:rsidR="009A1D2C">
        <w:rPr>
          <w:rFonts w:cs="Times New Roman"/>
        </w:rPr>
        <w:t xml:space="preserve">s, </w:t>
      </w:r>
      <w:r w:rsidR="0000574F">
        <w:rPr>
          <w:rFonts w:cs="Times New Roman"/>
        </w:rPr>
        <w:t xml:space="preserve">Participating EMS Providers and other stakeholders, </w:t>
      </w:r>
      <w:r w:rsidRPr="00694A59" w:rsidR="009A1D2C">
        <w:rPr>
          <w:rFonts w:cs="Times New Roman"/>
        </w:rPr>
        <w:t xml:space="preserve">individual </w:t>
      </w:r>
      <w:r w:rsidRPr="00694A59">
        <w:rPr>
          <w:rFonts w:cs="Times New Roman"/>
        </w:rPr>
        <w:t>EAS Participants</w:t>
      </w:r>
      <w:r w:rsidR="00183994">
        <w:rPr>
          <w:rFonts w:cs="Times New Roman"/>
        </w:rPr>
        <w:t xml:space="preserve"> and other stakeholders</w:t>
      </w:r>
      <w:r w:rsidRPr="00694A59">
        <w:rPr>
          <w:rFonts w:cs="Times New Roman"/>
        </w:rPr>
        <w:t xml:space="preserve">, </w:t>
      </w:r>
      <w:r w:rsidR="00183994">
        <w:rPr>
          <w:rFonts w:cs="Times New Roman"/>
        </w:rPr>
        <w:t xml:space="preserve">and the public </w:t>
      </w:r>
      <w:r w:rsidRPr="00694A59">
        <w:rPr>
          <w:rFonts w:cs="Times New Roman"/>
        </w:rPr>
        <w:t xml:space="preserve">to address </w:t>
      </w:r>
      <w:r w:rsidRPr="000E041E" w:rsidR="009C454F">
        <w:rPr>
          <w:rFonts w:cs="Times New Roman"/>
        </w:rPr>
        <w:t xml:space="preserve">the issues raised in the test </w:t>
      </w:r>
      <w:r w:rsidRPr="000E041E">
        <w:rPr>
          <w:rFonts w:cs="Times New Roman"/>
        </w:rPr>
        <w:t xml:space="preserve">and ensure that </w:t>
      </w:r>
      <w:r w:rsidR="00183994">
        <w:rPr>
          <w:rFonts w:cs="Times New Roman"/>
        </w:rPr>
        <w:t xml:space="preserve">WEA </w:t>
      </w:r>
      <w:r w:rsidR="0000574F">
        <w:rPr>
          <w:rFonts w:cs="Times New Roman"/>
        </w:rPr>
        <w:t xml:space="preserve">and the EAS </w:t>
      </w:r>
      <w:r w:rsidRPr="000E041E">
        <w:rPr>
          <w:rFonts w:cs="Times New Roman"/>
        </w:rPr>
        <w:t>can deliver timely and accurate national alerts and critical emergency information</w:t>
      </w:r>
      <w:r w:rsidRPr="00C40AAC">
        <w:rPr>
          <w:rFonts w:cs="Times New Roman"/>
        </w:rPr>
        <w:t xml:space="preserve"> to the public. </w:t>
      </w:r>
    </w:p>
    <w:p w:rsidR="00343A2C" w:rsidRPr="005A5884" w:rsidP="00C36244" w14:paraId="4F82B590" w14:textId="77777777">
      <w:pPr>
        <w:rPr>
          <w:rFonts w:cs="Times New Roman"/>
        </w:rPr>
      </w:pPr>
      <w:r>
        <w:rPr>
          <w:rFonts w:cs="Times New Roman"/>
        </w:rPr>
        <w:br w:type="page"/>
      </w:r>
    </w:p>
    <w:p w:rsidR="00343A2C" w:rsidRPr="00091DBB" w:rsidP="00FA589D" w14:paraId="647C342B" w14:textId="77777777">
      <w:pPr>
        <w:pStyle w:val="Heading1"/>
        <w:numPr>
          <w:ilvl w:val="0"/>
          <w:numId w:val="0"/>
        </w:numPr>
        <w:ind w:left="720" w:hanging="720"/>
        <w:jc w:val="center"/>
      </w:pPr>
      <w:bookmarkStart w:id="458" w:name="_Toc477433291"/>
      <w:bookmarkStart w:id="459" w:name="_Toc479002034"/>
      <w:bookmarkStart w:id="460" w:name="_Toc477433490"/>
      <w:bookmarkStart w:id="461" w:name="_Toc507169485"/>
      <w:bookmarkStart w:id="462" w:name="_Toc507169614"/>
      <w:bookmarkStart w:id="463" w:name="_Toc507169947"/>
      <w:bookmarkStart w:id="464" w:name="_Toc507170383"/>
      <w:bookmarkStart w:id="465" w:name="_Toc507170729"/>
      <w:bookmarkStart w:id="466" w:name="_Toc507171325"/>
      <w:bookmarkStart w:id="467" w:name="_Toc507171688"/>
      <w:bookmarkStart w:id="468" w:name="_Toc507772357"/>
      <w:bookmarkStart w:id="469" w:name="_Toc507772744"/>
      <w:bookmarkStart w:id="470" w:name="_Toc508315421"/>
      <w:bookmarkStart w:id="471" w:name="_Toc508316006"/>
      <w:bookmarkStart w:id="472" w:name="_Toc5614054"/>
      <w:r w:rsidRPr="00091DBB">
        <w:t xml:space="preserve">APPENDIX: HOW </w:t>
      </w:r>
      <w:r w:rsidR="00F27A28">
        <w:t>WEA</w:t>
      </w:r>
      <w:r w:rsidRPr="00091DBB" w:rsidR="00F27A28">
        <w:t xml:space="preserve"> </w:t>
      </w:r>
      <w:r w:rsidR="00C264FE">
        <w:t>and</w:t>
      </w:r>
      <w:r w:rsidR="00F27A28">
        <w:t xml:space="preserve"> EAS</w:t>
      </w:r>
      <w:r w:rsidR="00C264FE">
        <w:t xml:space="preserve"> </w:t>
      </w:r>
      <w:r w:rsidRPr="00091DBB">
        <w:t>WORK</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F27A28" w:rsidP="00F27A28" w14:paraId="0BEA542E" w14:textId="77777777">
      <w:pPr>
        <w:keepNext/>
        <w:rPr>
          <w:b/>
          <w:u w:val="single"/>
        </w:rPr>
      </w:pPr>
      <w:bookmarkStart w:id="473" w:name="_Toc477433292"/>
      <w:bookmarkStart w:id="474" w:name="_Toc479002035"/>
      <w:bookmarkStart w:id="475" w:name="_Toc477433491"/>
      <w:bookmarkStart w:id="476" w:name="_Toc507169486"/>
      <w:bookmarkStart w:id="477" w:name="_Toc507169615"/>
      <w:bookmarkStart w:id="478" w:name="_Toc507169948"/>
      <w:r>
        <w:rPr>
          <w:b/>
          <w:u w:val="single"/>
        </w:rPr>
        <w:t>Wireless Emergency Alerts</w:t>
      </w:r>
    </w:p>
    <w:p w:rsidR="00F27A28" w:rsidP="00F27A28" w14:paraId="37AC142C" w14:textId="77777777">
      <w:pPr>
        <w:keepNext/>
        <w:rPr>
          <w:b/>
          <w:u w:val="single"/>
        </w:rPr>
      </w:pPr>
    </w:p>
    <w:p w:rsidR="00F27A28" w:rsidRPr="00C33098" w:rsidP="00F27A28" w14:paraId="5F8E9CF2" w14:textId="77777777">
      <w:pPr>
        <w:pStyle w:val="ParaNum"/>
        <w:widowControl w:val="0"/>
        <w:numPr>
          <w:ilvl w:val="0"/>
          <w:numId w:val="0"/>
        </w:numPr>
      </w:pPr>
      <w:r w:rsidRPr="002C2A9F">
        <w:t xml:space="preserve">In 2008, pursuant to </w:t>
      </w:r>
      <w:r w:rsidRPr="003D5645">
        <w:t>the Warning, Alert and Response Network (WARN) Act,</w:t>
      </w:r>
      <w:r>
        <w:rPr>
          <w:rStyle w:val="FootnoteReference"/>
        </w:rPr>
        <w:footnoteReference w:id="96"/>
      </w:r>
      <w:r w:rsidRPr="00C33098">
        <w:t xml:space="preserve"> the Commission adopted rules allowing CMS Providers to voluntarily deliver timely and accurate emergency alerts over subscribers’ mobile devices.</w:t>
      </w:r>
      <w:r>
        <w:rPr>
          <w:rStyle w:val="FootnoteReference"/>
        </w:rPr>
        <w:footnoteReference w:id="97"/>
      </w:r>
      <w:r w:rsidRPr="00C33098">
        <w:t xml:space="preserve">  </w:t>
      </w:r>
      <w:r w:rsidRPr="003D5645">
        <w:t>The WARN Act required that the Commission underta</w:t>
      </w:r>
      <w:r w:rsidRPr="001814FB">
        <w:t xml:space="preserve">ke a series of actions, including </w:t>
      </w:r>
      <w:r w:rsidRPr="009E50C8">
        <w:t>the establishment and convening of</w:t>
      </w:r>
      <w:r w:rsidRPr="009E50C8">
        <w:t xml:space="preserve"> an advisory committee to recommend technical requirements for WEA.</w:t>
      </w:r>
      <w:r>
        <w:rPr>
          <w:rStyle w:val="FootnoteReference"/>
        </w:rPr>
        <w:footnoteReference w:id="98"/>
      </w:r>
      <w:r w:rsidRPr="00C33098">
        <w:t xml:space="preserve">  Accordingly, the Commission formed the Commercial Mobile Service Alert Advisory Committee (CMSAAC).</w:t>
      </w:r>
      <w:r>
        <w:rPr>
          <w:rStyle w:val="FootnoteReference"/>
        </w:rPr>
        <w:footnoteReference w:id="99"/>
      </w:r>
      <w:r w:rsidRPr="00C33098">
        <w:t xml:space="preserve">  The CMSAAC submi</w:t>
      </w:r>
      <w:r w:rsidRPr="003D5645">
        <w:t>tted its report to the Commission on October 12, 2007, as required by the WARN Act.</w:t>
      </w:r>
      <w:r>
        <w:rPr>
          <w:rStyle w:val="FootnoteReference"/>
        </w:rPr>
        <w:footnoteReference w:id="100"/>
      </w:r>
      <w:r w:rsidRPr="00C33098">
        <w:t xml:space="preserve">  The Commission subsequently promulgated rules governing WEA, within the timeframes established by the WARN Act.</w:t>
      </w:r>
      <w:r>
        <w:rPr>
          <w:rStyle w:val="FootnoteReference"/>
        </w:rPr>
        <w:footnoteReference w:id="101"/>
      </w:r>
      <w:r w:rsidRPr="00C33098">
        <w:t xml:space="preserve">  </w:t>
      </w:r>
      <w:r w:rsidRPr="003D5645">
        <w:t>The WARN Act gives the Commission authority to adopt “re</w:t>
      </w:r>
      <w:r w:rsidRPr="001814FB">
        <w:t>levant technical standards, protocols, procedures and other technical requirements based on the recommendations of such Advisory Committee necessary to enable commercial mobile service alerting capability for commercial mobile service providers that volunt</w:t>
      </w:r>
      <w:r w:rsidRPr="009E50C8">
        <w:t>arily elect to transmit emergency alerts.”</w:t>
      </w:r>
      <w:r>
        <w:rPr>
          <w:rStyle w:val="FootnoteReference"/>
        </w:rPr>
        <w:footnoteReference w:id="102"/>
      </w:r>
      <w:r w:rsidRPr="00C33098">
        <w:t xml:space="preserve">  The WARN Act also gives the Commission authority to adopt procedures whereby CMS Providers could specify their intent to the Commission to participate in WEA.</w:t>
      </w:r>
      <w:r>
        <w:rPr>
          <w:rStyle w:val="FootnoteReference"/>
        </w:rPr>
        <w:footnoteReference w:id="103"/>
      </w:r>
      <w:r w:rsidRPr="00C33098">
        <w:t xml:space="preserve">  </w:t>
      </w:r>
      <w:r w:rsidRPr="003D5645">
        <w:t xml:space="preserve">Many CMS Providers, including the four nationwide </w:t>
      </w:r>
      <w:r w:rsidRPr="001814FB">
        <w:t>wireless carriers, elected to participate in WEA, at least in part.</w:t>
      </w:r>
      <w:r>
        <w:rPr>
          <w:rStyle w:val="FootnoteReference"/>
        </w:rPr>
        <w:footnoteReference w:id="104"/>
      </w:r>
      <w:r w:rsidRPr="00C33098">
        <w:t xml:space="preserve">  </w:t>
      </w:r>
      <w:r w:rsidR="00A163F0">
        <w:rPr>
          <w:rFonts w:cs="Times New Roman"/>
        </w:rPr>
        <w:t xml:space="preserve">As of March 4, 2019, WEA has been used to issue nearly 44,000 emergency alerts, including </w:t>
      </w:r>
      <w:r w:rsidR="00A163F0">
        <w:rPr>
          <w:rFonts w:cs="Times New Roman"/>
        </w:rPr>
        <w:t>severe weather warnings, evacuate and shelter-in-place alerts, and AMBER Alerts</w:t>
      </w:r>
      <w:r>
        <w:rPr>
          <w:rStyle w:val="FootnoteReference"/>
        </w:rPr>
        <w:footnoteReference w:id="105"/>
      </w:r>
      <w:r w:rsidR="00A163F0">
        <w:rPr>
          <w:rFonts w:cs="Times New Roman"/>
        </w:rPr>
        <w:t xml:space="preserve"> since it was deployed in April 2012.</w:t>
      </w:r>
      <w:r>
        <w:rPr>
          <w:rStyle w:val="FootnoteReference"/>
        </w:rPr>
        <w:footnoteReference w:id="106"/>
      </w:r>
      <w:r w:rsidR="00A163F0">
        <w:rPr>
          <w:rFonts w:cs="Times New Roman"/>
        </w:rPr>
        <w:t xml:space="preserve">  </w:t>
      </w:r>
    </w:p>
    <w:p w:rsidR="00F27A28" w:rsidP="00F27A28" w14:paraId="7D27DC42" w14:textId="77777777">
      <w:pPr>
        <w:widowControl w:val="0"/>
      </w:pPr>
      <w:r w:rsidRPr="003D5645">
        <w:t>The WEA system is a tool for authorized federal, state and local government entities to geographically target Presidential, Imminent Threat, and AMBER Alerts to the WEA-capable mobile devices of Participating CMS Providers’ subscribers.</w:t>
      </w:r>
      <w:r>
        <w:rPr>
          <w:rStyle w:val="FootnoteReference"/>
        </w:rPr>
        <w:footnoteReference w:id="107"/>
      </w:r>
      <w:r w:rsidRPr="00C33098">
        <w:t xml:space="preserve">  As depicted in </w:t>
      </w:r>
      <w:r w:rsidRPr="008F62C7">
        <w:t xml:space="preserve">Figure </w:t>
      </w:r>
      <w:r w:rsidR="005C159C">
        <w:t>1</w:t>
      </w:r>
      <w:r w:rsidRPr="001814FB">
        <w:t xml:space="preserve"> below, a WEA Alert Message is sent by an authorized federal, state or local government entity using the Common Alerting Protocol (CAP) to the Federal Emergency Management Agency</w:t>
      </w:r>
      <w:r w:rsidRPr="009E50C8">
        <w:t xml:space="preserve"> (FEMA)-operated Alert Aggregator via a secure, Internet-based interface (the A-Interface) where it is authenticated, validated and subsequently delivered to FEMA’s Alert Gateway (the B-Interface).</w:t>
      </w:r>
      <w:r>
        <w:rPr>
          <w:rStyle w:val="FootnoteReference"/>
        </w:rPr>
        <w:footnoteReference w:id="108"/>
      </w:r>
      <w:r w:rsidRPr="00C33098">
        <w:t xml:space="preserve">  At the FEMA Alert Gateway, the Alert Message is prepared</w:t>
      </w:r>
      <w:r w:rsidRPr="003D5645">
        <w:t xml:space="preserve"> for delivery to the Participating CMS Provider by being converted to </w:t>
      </w:r>
      <w:r w:rsidRPr="00D4092F">
        <w:rPr>
          <w:szCs w:val="22"/>
        </w:rPr>
        <w:t>Commercial Mobile Alert for C-Interface (CMAC)</w:t>
      </w:r>
      <w:r w:rsidRPr="009E50C8">
        <w:t xml:space="preserve"> format to render it readable by WEA-capable mobile devices.  The Alert Message is then disseminated across a secure Internet-based interface (the C-Interface) to the Participating CMS Provider’s Alert Gateway (CMSP Gateway) for distribution to mobile customers over cell broadcast (CMSP Infrastructure).</w:t>
      </w:r>
      <w:r>
        <w:rPr>
          <w:rStyle w:val="FootnoteReference"/>
        </w:rPr>
        <w:footnoteReference w:id="109"/>
      </w:r>
    </w:p>
    <w:p w:rsidR="00F27A28" w:rsidP="00F27A28" w14:paraId="7D39C2D7" w14:textId="77777777"/>
    <w:p w:rsidR="00F27A28" w:rsidP="00F27A28" w14:paraId="2BF49D7B" w14:textId="77777777"/>
    <w:p w:rsidR="00F27A28" w:rsidP="00F27A28" w14:paraId="624A3666" w14:textId="77777777"/>
    <w:p w:rsidR="00F27A28" w:rsidP="00F27A28" w14:paraId="5415C22B" w14:textId="77777777"/>
    <w:p w:rsidR="00F27A28" w:rsidP="00F27A28" w14:paraId="61C6C0AA" w14:textId="77777777"/>
    <w:p w:rsidR="00F27A28" w:rsidP="00F27A28" w14:paraId="20DA19D1" w14:textId="77777777"/>
    <w:p w:rsidR="00A163F0" w:rsidP="00F27A28" w14:paraId="6A1D3B85" w14:textId="77777777"/>
    <w:p w:rsidR="00A163F0" w:rsidP="00F27A28" w14:paraId="7E8139ED" w14:textId="2E0CD6D9"/>
    <w:p w:rsidR="009563B0" w:rsidP="00F27A28" w14:paraId="3D9B1C86" w14:textId="77777777"/>
    <w:p w:rsidR="00F27A28" w:rsidRPr="0061170E" w:rsidP="00F27A28" w14:paraId="3E98266B" w14:textId="77777777">
      <w:pPr>
        <w:rPr>
          <w:b/>
        </w:rPr>
      </w:pPr>
      <w:r w:rsidRPr="0061170E">
        <w:rPr>
          <w:b/>
        </w:rPr>
        <w:t xml:space="preserve">Figure </w:t>
      </w:r>
      <w:r w:rsidR="005C159C">
        <w:rPr>
          <w:b/>
        </w:rPr>
        <w:t>1</w:t>
      </w:r>
      <w:r w:rsidRPr="0061170E">
        <w:rPr>
          <w:b/>
        </w:rPr>
        <w:t>. WEA Architecture</w:t>
      </w:r>
    </w:p>
    <w:p w:rsidR="00F27A28" w:rsidP="00F27A28" w14:paraId="6E06B14F" w14:textId="77777777"/>
    <w:p w:rsidR="00F27A28" w:rsidP="00F27A28" w14:paraId="11CD06C2" w14:textId="77777777">
      <w:r>
        <w:rPr>
          <w:noProof/>
          <w:sz w:val="16"/>
          <w:szCs w:val="16"/>
        </w:rPr>
        <w:drawing>
          <wp:inline distT="0" distB="0" distL="0" distR="0">
            <wp:extent cx="5943600" cy="4472940"/>
            <wp:effectExtent l="0" t="0" r="0" b="381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73542"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472940"/>
                    </a:xfrm>
                    <a:prstGeom prst="rect">
                      <a:avLst/>
                    </a:prstGeom>
                    <a:noFill/>
                    <a:ln>
                      <a:noFill/>
                    </a:ln>
                  </pic:spPr>
                </pic:pic>
              </a:graphicData>
            </a:graphic>
          </wp:inline>
        </w:drawing>
      </w:r>
    </w:p>
    <w:p w:rsidR="00F27A28" w:rsidP="00F27A28" w14:paraId="0188F90D" w14:textId="77777777"/>
    <w:p w:rsidR="00F27A28" w:rsidRPr="00C264FE" w:rsidP="00F27A28" w14:paraId="7EC72084" w14:textId="77777777">
      <w:r w:rsidRPr="007275D9">
        <w:t>Currently, Participating CMS</w:t>
      </w:r>
      <w:r>
        <w:t xml:space="preserve"> </w:t>
      </w:r>
      <w:r w:rsidRPr="007275D9">
        <w:t>Providers’ WEA infrastructure removes Alert Message metadata, including a description of the</w:t>
      </w:r>
      <w:r>
        <w:t xml:space="preserve"> </w:t>
      </w:r>
      <w:r w:rsidRPr="007275D9">
        <w:t>geographic target area for the Alert Message and the Alert Message’s expiration time, and then transmits</w:t>
      </w:r>
      <w:r>
        <w:t xml:space="preserve"> </w:t>
      </w:r>
      <w:r w:rsidRPr="007275D9">
        <w:t>the Alert Message content to their subscribers’ WEA-capable devices.</w:t>
      </w:r>
      <w:r>
        <w:t xml:space="preserve"> </w:t>
      </w:r>
      <w:r w:rsidRPr="007275D9">
        <w:t xml:space="preserve"> While the Commission’s WEA</w:t>
      </w:r>
      <w:r>
        <w:t xml:space="preserve"> </w:t>
      </w:r>
      <w:r w:rsidRPr="007275D9">
        <w:t>rules are technologically neutral, most Participating CMS Providers use cell broadcast technology to</w:t>
      </w:r>
      <w:r>
        <w:t xml:space="preserve"> </w:t>
      </w:r>
      <w:r w:rsidRPr="007275D9">
        <w:t>transmit WEA Alert Messages to their subscribers.</w:t>
      </w:r>
      <w:r>
        <w:rPr>
          <w:rStyle w:val="FootnoteReference"/>
        </w:rPr>
        <w:footnoteReference w:id="110"/>
      </w:r>
      <w:r>
        <w:t xml:space="preserve"> </w:t>
      </w:r>
      <w:r w:rsidRPr="007275D9">
        <w:t xml:space="preserve"> When the Alert Message is received by a WEA</w:t>
      </w:r>
      <w:r>
        <w:t>-</w:t>
      </w:r>
      <w:r w:rsidRPr="007275D9">
        <w:t>capable</w:t>
      </w:r>
      <w:r>
        <w:t xml:space="preserve"> </w:t>
      </w:r>
      <w:r w:rsidRPr="007275D9">
        <w:t>mobile device, it is prominently presented to the subscriber as long as the subscriber has not</w:t>
      </w:r>
      <w:r>
        <w:t xml:space="preserve"> </w:t>
      </w:r>
      <w:r w:rsidRPr="007275D9">
        <w:t>opted out of receiving Alert Messages of that type.</w:t>
      </w:r>
      <w:r>
        <w:rPr>
          <w:rStyle w:val="FootnoteReference"/>
        </w:rPr>
        <w:footnoteReference w:id="111"/>
      </w:r>
      <w:r>
        <w:t xml:space="preserve">  </w:t>
      </w:r>
    </w:p>
    <w:p w:rsidR="00FC68E8" w:rsidP="00B57342" w14:paraId="38375C05" w14:textId="77777777">
      <w:pPr>
        <w:rPr>
          <w:b/>
          <w:u w:val="single"/>
        </w:rPr>
      </w:pPr>
    </w:p>
    <w:p w:rsidR="00343A2C" w:rsidRPr="00085542" w:rsidP="00F27A28" w14:paraId="3ED1F8C5" w14:textId="77777777">
      <w:pPr>
        <w:keepNext/>
        <w:rPr>
          <w:b/>
          <w:u w:val="single"/>
        </w:rPr>
      </w:pPr>
      <w:r w:rsidRPr="255FCAE1">
        <w:rPr>
          <w:b/>
          <w:u w:val="single"/>
        </w:rPr>
        <w:t>The Emergency Alert System</w:t>
      </w:r>
      <w:bookmarkEnd w:id="473"/>
      <w:bookmarkEnd w:id="474"/>
      <w:bookmarkEnd w:id="475"/>
      <w:bookmarkEnd w:id="476"/>
      <w:bookmarkEnd w:id="477"/>
      <w:bookmarkEnd w:id="478"/>
    </w:p>
    <w:p w:rsidR="00FC68E8" w:rsidP="00F27A28" w14:paraId="184165F3" w14:textId="77777777">
      <w:pPr>
        <w:keepNext/>
        <w:spacing w:after="120"/>
        <w:rPr>
          <w:rFonts w:cs="Times New Roman"/>
          <w:szCs w:val="22"/>
        </w:rPr>
      </w:pPr>
    </w:p>
    <w:p w:rsidR="00343A2C" w:rsidRPr="00DF7C10" w:rsidP="00F27A28" w14:paraId="1FF0E097" w14:textId="77777777">
      <w:pPr>
        <w:keepNext/>
        <w:spacing w:after="120"/>
        <w:rPr>
          <w:rFonts w:cs="Times New Roman"/>
        </w:rPr>
      </w:pPr>
      <w:r w:rsidRPr="00785A17">
        <w:rPr>
          <w:rFonts w:cs="Times New Roman"/>
        </w:rPr>
        <w:t>The EAS is desig</w:t>
      </w:r>
      <w:r w:rsidRPr="00C32047">
        <w:rPr>
          <w:rFonts w:cs="Times New Roman"/>
        </w:rPr>
        <w:t>ned primarily to provide the President with the capability</w:t>
      </w:r>
      <w:r w:rsidRPr="00E23F3C">
        <w:rPr>
          <w:rFonts w:cs="Times New Roman"/>
        </w:rPr>
        <w:t xml:space="preserve"> to communicate via a live audio transmission to the public during a national emergency.</w:t>
      </w:r>
      <w:r>
        <w:rPr>
          <w:rStyle w:val="FootnoteReference"/>
        </w:rPr>
        <w:footnoteReference w:id="112"/>
      </w:r>
      <w:r w:rsidRPr="00785A17">
        <w:rPr>
          <w:rFonts w:cs="Times New Roman"/>
        </w:rPr>
        <w:t xml:space="preserve">  The EAS is the successor to prior national warning systems Control of Electromagnetic Radiation (CONELRAD), established in 1951; and the </w:t>
      </w:r>
      <w:r w:rsidR="004B3E5A">
        <w:rPr>
          <w:rFonts w:cs="Times New Roman"/>
        </w:rPr>
        <w:t>Emergency Broadcasting System (</w:t>
      </w:r>
      <w:r w:rsidRPr="00785A17">
        <w:rPr>
          <w:rFonts w:cs="Times New Roman"/>
        </w:rPr>
        <w:t>EBS</w:t>
      </w:r>
      <w:r w:rsidR="004B3E5A">
        <w:rPr>
          <w:rFonts w:cs="Times New Roman"/>
        </w:rPr>
        <w:t>)</w:t>
      </w:r>
      <w:r w:rsidRPr="00785A17">
        <w:rPr>
          <w:rFonts w:cs="Times New Roman"/>
        </w:rPr>
        <w:t>, established in 1963.</w:t>
      </w:r>
      <w:r>
        <w:rPr>
          <w:rStyle w:val="FootnoteReference"/>
        </w:rPr>
        <w:footnoteReference w:id="113"/>
      </w:r>
      <w:r w:rsidRPr="00785A17">
        <w:rPr>
          <w:rFonts w:cs="Times New Roman"/>
        </w:rPr>
        <w:t xml:space="preserve">  </w:t>
      </w:r>
      <w:r w:rsidRPr="00C32047">
        <w:rPr>
          <w:rFonts w:cs="Times New Roman"/>
        </w:rPr>
        <w:t>The FCC, in conjunction with FEMA and the NWS, implements EAS at the federal level.</w:t>
      </w:r>
      <w:r>
        <w:rPr>
          <w:rStyle w:val="FootnoteReference"/>
        </w:rPr>
        <w:footnoteReference w:id="114"/>
      </w:r>
      <w:r w:rsidRPr="00785A17">
        <w:rPr>
          <w:rFonts w:cs="Times New Roman"/>
        </w:rPr>
        <w:t xml:space="preserve">  The respective roles these agencies play are defined by a 1981 Memorandum of Understanding between FEMA, NWS and the FCC;</w:t>
      </w:r>
      <w:r>
        <w:rPr>
          <w:rStyle w:val="FootnoteReference"/>
        </w:rPr>
        <w:footnoteReference w:id="115"/>
      </w:r>
      <w:r w:rsidRPr="00785A17">
        <w:rPr>
          <w:rFonts w:cs="Times New Roman"/>
        </w:rPr>
        <w:t xml:space="preserve"> a 1984 Executive Order;</w:t>
      </w:r>
      <w:r>
        <w:rPr>
          <w:rStyle w:val="FootnoteReference"/>
        </w:rPr>
        <w:footnoteReference w:id="116"/>
      </w:r>
      <w:r w:rsidRPr="00785A17">
        <w:rPr>
          <w:rFonts w:cs="Times New Roman"/>
        </w:rPr>
        <w:t xml:space="preserve"> a 1995 Presidential St</w:t>
      </w:r>
      <w:r w:rsidRPr="00C32047">
        <w:rPr>
          <w:rFonts w:cs="Times New Roman"/>
        </w:rPr>
        <w:t>atement of EAS Requirements;</w:t>
      </w:r>
      <w:r>
        <w:rPr>
          <w:rStyle w:val="FootnoteReference"/>
        </w:rPr>
        <w:footnoteReference w:id="117"/>
      </w:r>
      <w:r w:rsidRPr="00785A17">
        <w:rPr>
          <w:rFonts w:cs="Times New Roman"/>
        </w:rPr>
        <w:t xml:space="preserve"> and a 2006 Public Alert and Warning System Executive Order.</w:t>
      </w:r>
      <w:r>
        <w:rPr>
          <w:rStyle w:val="FootnoteReference"/>
        </w:rPr>
        <w:footnoteReference w:id="118"/>
      </w:r>
      <w:r w:rsidRPr="00785A17">
        <w:rPr>
          <w:rFonts w:cs="Times New Roman"/>
        </w:rPr>
        <w:t xml:space="preserve">  As a general matter, the Commission, FEMA and NWS all work closely with radio and television broadcasters, cable providers, and other EAS Partici</w:t>
      </w:r>
      <w:r w:rsidRPr="00C32047">
        <w:rPr>
          <w:rFonts w:cs="Times New Roman"/>
        </w:rPr>
        <w:t>pants and stakehold</w:t>
      </w:r>
      <w:r w:rsidRPr="00E23F3C">
        <w:rPr>
          <w:rFonts w:cs="Times New Roman"/>
        </w:rPr>
        <w:t>ers – including state, local, territorial and tribal governments – to ensure the integrity and utility of the EAS.</w:t>
      </w:r>
    </w:p>
    <w:p w:rsidR="00343A2C" w:rsidRPr="00785A17" w:rsidP="00343A2C" w14:paraId="76E4B501" w14:textId="77777777">
      <w:pPr>
        <w:spacing w:after="120"/>
        <w:rPr>
          <w:rFonts w:cs="Times New Roman"/>
        </w:rPr>
      </w:pPr>
      <w:r w:rsidRPr="00D55BAA">
        <w:rPr>
          <w:rFonts w:cs="Times New Roman"/>
        </w:rPr>
        <w:t>FCC rules require EAS Participants to have the capability to receive and transmit Presidential alerts disseminated over the EAS, and generall</w:t>
      </w:r>
      <w:r w:rsidRPr="00D965C4">
        <w:rPr>
          <w:rFonts w:cs="Times New Roman"/>
        </w:rPr>
        <w:t>y govern all aspects of EAS participation.</w:t>
      </w:r>
      <w:r>
        <w:rPr>
          <w:rStyle w:val="FootnoteReference"/>
        </w:rPr>
        <w:footnoteReference w:id="119"/>
      </w:r>
      <w:r w:rsidRPr="00785A17">
        <w:rPr>
          <w:rFonts w:cs="Times New Roman"/>
        </w:rPr>
        <w:t xml:space="preserve">  However, a Presidential alert has never been issued, and prior to the 2011 </w:t>
      </w:r>
      <w:r w:rsidR="00060B33">
        <w:rPr>
          <w:rFonts w:cs="Times New Roman"/>
        </w:rPr>
        <w:t>N</w:t>
      </w:r>
      <w:r w:rsidRPr="00785A17">
        <w:rPr>
          <w:rFonts w:cs="Times New Roman"/>
        </w:rPr>
        <w:t xml:space="preserve">ationwide EAS </w:t>
      </w:r>
      <w:r w:rsidR="00060B33">
        <w:rPr>
          <w:rFonts w:cs="Times New Roman"/>
        </w:rPr>
        <w:t>T</w:t>
      </w:r>
      <w:r w:rsidRPr="00785A17">
        <w:rPr>
          <w:rFonts w:cs="Times New Roman"/>
        </w:rPr>
        <w:t>est, the national alerting capability of the EAS had never been tested.  Although EAS Participants al</w:t>
      </w:r>
      <w:r w:rsidRPr="00C32047">
        <w:rPr>
          <w:rFonts w:cs="Times New Roman"/>
        </w:rPr>
        <w:t>so voluntarily tran</w:t>
      </w:r>
      <w:r w:rsidRPr="00E23F3C">
        <w:rPr>
          <w:rFonts w:cs="Times New Roman"/>
        </w:rPr>
        <w:t>smit thousands of alerts and warnings issued annually by the NWS and state, tribal, and local governments, these alerts typically address severe weather threats, child abductions, and other local em</w:t>
      </w:r>
      <w:r w:rsidRPr="00DF7C10">
        <w:rPr>
          <w:rFonts w:cs="Times New Roman"/>
        </w:rPr>
        <w:t>ergencies.  As discussed in more detail below, non-Preside</w:t>
      </w:r>
      <w:r w:rsidRPr="00D55BAA">
        <w:rPr>
          <w:rFonts w:cs="Times New Roman"/>
        </w:rPr>
        <w:t>ntial EAS alerts do not require that EAS Participants open a live audio feed from the alerting source, but rather deliver alerts with prerecorded messages that can be delivered at the discretion of the EAS Participant, rendering non-Presidential alerts (and their related testing procedures) inappropriate for end</w:t>
      </w:r>
      <w:r w:rsidR="008F62C7">
        <w:rPr>
          <w:rFonts w:cs="Times New Roman"/>
        </w:rPr>
        <w:t>-</w:t>
      </w:r>
      <w:r w:rsidRPr="00D55BAA">
        <w:rPr>
          <w:rFonts w:cs="Times New Roman"/>
        </w:rPr>
        <w:t>to</w:t>
      </w:r>
      <w:r w:rsidR="008F62C7">
        <w:rPr>
          <w:rFonts w:cs="Times New Roman"/>
        </w:rPr>
        <w:t>-</w:t>
      </w:r>
      <w:r w:rsidRPr="00D55BAA">
        <w:rPr>
          <w:rFonts w:cs="Times New Roman"/>
        </w:rPr>
        <w:t>end testing of a national alert.</w:t>
      </w:r>
      <w:r>
        <w:rPr>
          <w:rStyle w:val="FootnoteReference"/>
        </w:rPr>
        <w:footnoteReference w:id="120"/>
      </w:r>
    </w:p>
    <w:p w:rsidR="00343A2C" w:rsidP="00F27A28" w14:paraId="3F00D163" w14:textId="77777777">
      <w:pPr>
        <w:keepNext/>
        <w:rPr>
          <w:b/>
          <w:u w:val="single"/>
        </w:rPr>
      </w:pPr>
      <w:bookmarkStart w:id="479" w:name="_Toc477433293"/>
      <w:bookmarkStart w:id="480" w:name="_Toc479002036"/>
      <w:bookmarkStart w:id="481" w:name="_Toc477433492"/>
      <w:bookmarkStart w:id="482" w:name="_Toc507169487"/>
      <w:bookmarkStart w:id="483" w:name="_Toc507169616"/>
      <w:bookmarkStart w:id="484" w:name="_Toc507169949"/>
      <w:bookmarkStart w:id="485" w:name="_Toc507170384"/>
      <w:bookmarkStart w:id="486" w:name="_Toc507170730"/>
      <w:bookmarkStart w:id="487" w:name="_Toc507171326"/>
      <w:r w:rsidRPr="255FCAE1">
        <w:rPr>
          <w:b/>
          <w:u w:val="single"/>
        </w:rPr>
        <w:t>Legacy EAS Structure</w:t>
      </w:r>
      <w:bookmarkEnd w:id="479"/>
      <w:bookmarkEnd w:id="480"/>
      <w:bookmarkEnd w:id="481"/>
      <w:bookmarkEnd w:id="482"/>
      <w:bookmarkEnd w:id="483"/>
      <w:bookmarkEnd w:id="484"/>
      <w:bookmarkEnd w:id="485"/>
      <w:bookmarkEnd w:id="486"/>
      <w:bookmarkEnd w:id="487"/>
    </w:p>
    <w:p w:rsidR="002478FA" w:rsidRPr="00085542" w:rsidP="00F27A28" w14:paraId="1D6D9DB5" w14:textId="77777777">
      <w:pPr>
        <w:keepNext/>
        <w:rPr>
          <w:b/>
          <w:u w:val="single"/>
        </w:rPr>
      </w:pPr>
    </w:p>
    <w:p w:rsidR="00343A2C" w:rsidRPr="00DF7C10" w:rsidP="00F27A28" w14:paraId="1147DAF6" w14:textId="77777777">
      <w:pPr>
        <w:keepNext/>
        <w:spacing w:after="120"/>
        <w:rPr>
          <w:rFonts w:cs="Times New Roman"/>
        </w:rPr>
      </w:pPr>
      <w:r w:rsidRPr="00C32047">
        <w:rPr>
          <w:rFonts w:cs="Times New Roman"/>
        </w:rPr>
        <w:t>There are two methods by which EAS alerts may be distributed.  Under the traditio</w:t>
      </w:r>
      <w:r w:rsidRPr="00E23F3C">
        <w:rPr>
          <w:rFonts w:cs="Times New Roman"/>
        </w:rPr>
        <w:t xml:space="preserve">nal “legacy” structure, illustrated in Figure </w:t>
      </w:r>
      <w:r w:rsidR="005C159C">
        <w:rPr>
          <w:rFonts w:cs="Times New Roman"/>
        </w:rPr>
        <w:t>2</w:t>
      </w:r>
      <w:r w:rsidRPr="00E23F3C">
        <w:rPr>
          <w:rFonts w:cs="Times New Roman"/>
        </w:rPr>
        <w:t xml:space="preserve"> below, the</w:t>
      </w:r>
      <w:r w:rsidRPr="00DF7C10">
        <w:rPr>
          <w:rFonts w:cs="Times New Roman"/>
        </w:rPr>
        <w:t xml:space="preserve"> EAS is designed to cascade the EAN through a pre-established hierarchy of broadcast, cable, and satellite systems.  FEMA initiates a nationwide, Presidential alert using specific encoding equipment to send the EAN code to the PEPs over a secure telephone </w:t>
      </w:r>
      <w:r w:rsidRPr="00D55BAA">
        <w:rPr>
          <w:rFonts w:cs="Times New Roman"/>
        </w:rPr>
        <w:t>(wireline) connection.</w:t>
      </w:r>
      <w:r>
        <w:rPr>
          <w:rStyle w:val="FootnoteReference"/>
        </w:rPr>
        <w:footnoteReference w:id="121"/>
      </w:r>
      <w:r w:rsidRPr="00785A17">
        <w:rPr>
          <w:rFonts w:cs="Times New Roman"/>
        </w:rPr>
        <w:t xml:space="preserve">  Upon receipt of the code, the PEPs open a live audio channel to FEMA and broadcast the EAN throughout their listening areas.  A group of selected EAS Participants in each PEP’s broadcast area, known as Local Primary (LP) stations, </w:t>
      </w:r>
      <w:r w:rsidRPr="00C32047">
        <w:rPr>
          <w:rFonts w:cs="Times New Roman"/>
        </w:rPr>
        <w:t>monitor these PEP stations.  When LP stations receive the EAN, they, in turn, open up an audio channel to FEMA via the PEP, and broadcast the EAN in their listening areas.  The remaining 22,500 broadcasters, cable television facilities and other EAS Partic</w:t>
      </w:r>
      <w:r w:rsidRPr="00E23F3C">
        <w:rPr>
          <w:rFonts w:cs="Times New Roman"/>
        </w:rPr>
        <w:t xml:space="preserve">ipants located in each LP’s broadcast footprint receive the alerts from the LP stations, deliver the alerts to the public (or in the case of cable, to customers’ set top boxes), and open up the audio channel to FEMA through their PEP and LP.  </w:t>
      </w:r>
    </w:p>
    <w:p w:rsidR="00343A2C" w:rsidRPr="00D034E5" w:rsidP="00343A2C" w14:paraId="0CA7B74F" w14:textId="77777777">
      <w:pPr>
        <w:keepNext/>
        <w:keepLines/>
        <w:spacing w:after="120"/>
        <w:rPr>
          <w:rFonts w:cs="Times New Roman"/>
        </w:rPr>
      </w:pPr>
      <w:r w:rsidRPr="255FCAE1">
        <w:rPr>
          <w:rFonts w:cs="Times New Roman"/>
          <w:b/>
        </w:rPr>
        <w:t xml:space="preserve">Figure </w:t>
      </w:r>
      <w:r w:rsidR="005C159C">
        <w:rPr>
          <w:rFonts w:cs="Times New Roman"/>
          <w:b/>
        </w:rPr>
        <w:t>2</w:t>
      </w:r>
      <w:r w:rsidRPr="255FCAE1">
        <w:rPr>
          <w:rFonts w:cs="Times New Roman"/>
          <w:b/>
        </w:rPr>
        <w:t>. EAS Architecture</w:t>
      </w:r>
    </w:p>
    <w:p w:rsidR="00343A2C" w:rsidRPr="00FC68E8" w:rsidP="00343A2C" w14:paraId="192FFE0F" w14:textId="77777777">
      <w:pPr>
        <w:spacing w:after="120"/>
        <w:jc w:val="center"/>
        <w:rPr>
          <w:rFonts w:cs="Times New Roman"/>
          <w:szCs w:val="22"/>
        </w:rPr>
      </w:pPr>
      <w:r w:rsidRPr="00FC68E8">
        <w:rPr>
          <w:rFonts w:cs="Times New Roman"/>
          <w:noProof/>
          <w:szCs w:val="22"/>
          <w:lang w:eastAsia="en-US"/>
        </w:rPr>
        <w:drawing>
          <wp:inline distT="0" distB="0" distL="0" distR="0">
            <wp:extent cx="4495800" cy="2828925"/>
            <wp:effectExtent l="0" t="0" r="0" b="9525"/>
            <wp:docPr id="2" name="Content Placeholder 8" descr="Description: EAS Architecture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81497612" name="Content Placeholder 8" descr="Description: EAS Architecture 4"/>
                    <pic:cNvPicPr>
                      <a:picLocks noGrp="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5800" cy="2828925"/>
                    </a:xfrm>
                    <a:prstGeom prst="rect">
                      <a:avLst/>
                    </a:prstGeom>
                    <a:noFill/>
                    <a:ln>
                      <a:noFill/>
                    </a:ln>
                  </pic:spPr>
                </pic:pic>
              </a:graphicData>
            </a:graphic>
          </wp:inline>
        </w:drawing>
      </w:r>
    </w:p>
    <w:p w:rsidR="00173640" w14:paraId="1672DCB5" w14:textId="77777777">
      <w:pPr>
        <w:rPr>
          <w:b/>
          <w:u w:val="single"/>
        </w:rPr>
      </w:pPr>
      <w:bookmarkStart w:id="488" w:name="_Toc477433294"/>
      <w:bookmarkStart w:id="489" w:name="_Toc479002037"/>
      <w:bookmarkStart w:id="490" w:name="_Toc477433493"/>
      <w:bookmarkStart w:id="491" w:name="_Toc507169488"/>
      <w:bookmarkStart w:id="492" w:name="_Toc507169617"/>
      <w:bookmarkStart w:id="493" w:name="_Toc507169950"/>
      <w:bookmarkStart w:id="494" w:name="_Toc507170385"/>
      <w:bookmarkStart w:id="495" w:name="_Toc507170731"/>
      <w:bookmarkStart w:id="496" w:name="_Toc507171327"/>
      <w:r>
        <w:rPr>
          <w:b/>
          <w:u w:val="single"/>
        </w:rPr>
        <w:br w:type="page"/>
      </w:r>
    </w:p>
    <w:p w:rsidR="00343A2C" w:rsidP="00A61684" w14:paraId="61324D4E" w14:textId="4FB9655F">
      <w:pPr>
        <w:keepNext/>
        <w:rPr>
          <w:b/>
          <w:u w:val="single"/>
        </w:rPr>
      </w:pPr>
      <w:r w:rsidRPr="255FCAE1">
        <w:rPr>
          <w:b/>
          <w:u w:val="single"/>
        </w:rPr>
        <w:t>Alerting via IPAWS</w:t>
      </w:r>
      <w:bookmarkEnd w:id="488"/>
      <w:bookmarkEnd w:id="489"/>
      <w:bookmarkEnd w:id="490"/>
      <w:bookmarkEnd w:id="491"/>
      <w:bookmarkEnd w:id="492"/>
      <w:bookmarkEnd w:id="493"/>
      <w:bookmarkEnd w:id="494"/>
      <w:bookmarkEnd w:id="495"/>
      <w:bookmarkEnd w:id="496"/>
    </w:p>
    <w:p w:rsidR="002478FA" w:rsidRPr="00085542" w:rsidP="00A61684" w14:paraId="61CC8A97" w14:textId="77777777">
      <w:pPr>
        <w:keepNext/>
        <w:rPr>
          <w:b/>
          <w:kern w:val="3"/>
          <w:u w:val="single"/>
        </w:rPr>
      </w:pPr>
    </w:p>
    <w:p w:rsidR="004E460F" w:rsidRPr="00ED722E" w:rsidP="00ED722E" w14:paraId="79C6ECB2" w14:textId="6045617F">
      <w:pPr>
        <w:pStyle w:val="ParaNum"/>
        <w:keepNext/>
        <w:numPr>
          <w:ilvl w:val="0"/>
          <w:numId w:val="0"/>
        </w:numPr>
        <w:rPr>
          <w:rFonts w:cs="Times New Roman"/>
        </w:rPr>
      </w:pPr>
      <w:r w:rsidRPr="00C32047">
        <w:rPr>
          <w:rFonts w:cs="Times New Roman"/>
          <w:kern w:val="3"/>
        </w:rPr>
        <w:t xml:space="preserve">EAS </w:t>
      </w:r>
      <w:r w:rsidR="00A61684">
        <w:rPr>
          <w:rFonts w:cs="Times New Roman"/>
          <w:kern w:val="3"/>
        </w:rPr>
        <w:t xml:space="preserve">and WEA </w:t>
      </w:r>
      <w:r w:rsidRPr="00C32047">
        <w:rPr>
          <w:rFonts w:cs="Times New Roman"/>
          <w:kern w:val="3"/>
        </w:rPr>
        <w:t xml:space="preserve">alerts may be distributed over the Internet through the Integrated Public Alert and Warning System (IPAWS), illustrated in Figure </w:t>
      </w:r>
      <w:r w:rsidR="00A61684">
        <w:rPr>
          <w:rFonts w:cs="Times New Roman"/>
          <w:kern w:val="3"/>
        </w:rPr>
        <w:t>3</w:t>
      </w:r>
      <w:r w:rsidRPr="00C32047">
        <w:rPr>
          <w:rFonts w:cs="Times New Roman"/>
          <w:kern w:val="3"/>
        </w:rPr>
        <w:t xml:space="preserve"> below.</w:t>
      </w:r>
      <w:r>
        <w:rPr>
          <w:rStyle w:val="FootnoteReference"/>
          <w:kern w:val="3"/>
        </w:rPr>
        <w:footnoteReference w:id="122"/>
      </w:r>
      <w:r w:rsidRPr="00785A17">
        <w:rPr>
          <w:rFonts w:cs="Times New Roman"/>
          <w:kern w:val="3"/>
        </w:rPr>
        <w:t xml:space="preserve">  As of</w:t>
      </w:r>
      <w:r w:rsidRPr="00C32047">
        <w:rPr>
          <w:rFonts w:cs="Times New Roman"/>
        </w:rPr>
        <w:t xml:space="preserve"> June 30, 2012, EAS Participants are required to be able to receive EAS alerts formatted in Common Alerting Protocol (CAP)</w:t>
      </w:r>
      <w:r>
        <w:rPr>
          <w:rStyle w:val="FootnoteReference"/>
        </w:rPr>
        <w:footnoteReference w:id="123"/>
      </w:r>
      <w:r w:rsidRPr="00785A17">
        <w:rPr>
          <w:rFonts w:cs="Times New Roman"/>
        </w:rPr>
        <w:t xml:space="preserve"> from authorized emergency alert initiators over the Internet via IPAWS.  CAP-formatted alerts can include audio, video or data files</w:t>
      </w:r>
      <w:r w:rsidRPr="00C32047">
        <w:rPr>
          <w:rFonts w:cs="Times New Roman"/>
        </w:rPr>
        <w:t>, images, multilingual translations of alerts, and links providing more detailed information than what is contained in the initial alert (such as streaming audio or video).</w:t>
      </w:r>
      <w:r>
        <w:rPr>
          <w:rStyle w:val="FootnoteReference"/>
        </w:rPr>
        <w:footnoteReference w:id="124"/>
      </w:r>
      <w:r w:rsidRPr="00785A17">
        <w:rPr>
          <w:rFonts w:cs="Times New Roman"/>
        </w:rPr>
        <w:t xml:space="preserve">  An EAS Participant that receives a CAP-formatted message can utilize the CAP-form</w:t>
      </w:r>
      <w:r w:rsidRPr="00C32047">
        <w:rPr>
          <w:rFonts w:cs="Times New Roman"/>
        </w:rPr>
        <w:t>atted content to generate messages in synchronous audio and visual formats, which then can be broadcast to local viewers and listeners.</w:t>
      </w:r>
      <w:r>
        <w:rPr>
          <w:rFonts w:cs="Times New Roman"/>
          <w:vertAlign w:val="superscript"/>
        </w:rPr>
        <w:footnoteReference w:id="125"/>
      </w:r>
      <w:r w:rsidRPr="00785A17">
        <w:rPr>
          <w:rFonts w:cs="Times New Roman"/>
        </w:rPr>
        <w:t xml:space="preserve">  CAP also provides each alert with a unique alert identifier and supports alert authentication through the provision of</w:t>
      </w:r>
      <w:r w:rsidRPr="00C32047">
        <w:rPr>
          <w:rFonts w:cs="Times New Roman"/>
        </w:rPr>
        <w:t xml:space="preserve"> a digital signature and an encryption field that enables greater protection of the CAP message.</w:t>
      </w:r>
      <w:r>
        <w:rPr>
          <w:rFonts w:cs="Times New Roman"/>
          <w:vertAlign w:val="superscript"/>
        </w:rPr>
        <w:footnoteReference w:id="126"/>
      </w:r>
      <w:r w:rsidRPr="00785A17">
        <w:rPr>
          <w:rFonts w:cs="Times New Roman"/>
        </w:rPr>
        <w:t xml:space="preserve">  </w:t>
      </w:r>
    </w:p>
    <w:p w:rsidR="00E577EF" w14:paraId="10A3B093" w14:textId="77777777">
      <w:pPr>
        <w:rPr>
          <w:rFonts w:cs="Times New Roman"/>
          <w:b/>
          <w:kern w:val="3"/>
          <w:szCs w:val="22"/>
        </w:rPr>
      </w:pPr>
      <w:r>
        <w:rPr>
          <w:rFonts w:cs="Times New Roman"/>
          <w:b/>
          <w:kern w:val="3"/>
          <w:szCs w:val="22"/>
        </w:rPr>
        <w:br w:type="page"/>
      </w:r>
    </w:p>
    <w:p w:rsidR="00343A2C" w:rsidRPr="00A61684" w:rsidP="009B3F4D" w14:paraId="010DB763" w14:textId="03F2B202">
      <w:pPr>
        <w:pStyle w:val="ParaNum"/>
        <w:keepNext/>
        <w:keepLines/>
        <w:numPr>
          <w:ilvl w:val="0"/>
          <w:numId w:val="0"/>
        </w:numPr>
        <w:rPr>
          <w:rFonts w:cs="Times New Roman"/>
          <w:b/>
          <w:kern w:val="3"/>
          <w:szCs w:val="22"/>
        </w:rPr>
      </w:pPr>
      <w:bookmarkStart w:id="497" w:name="_GoBack"/>
      <w:bookmarkEnd w:id="497"/>
      <w:r w:rsidRPr="00A61684">
        <w:rPr>
          <w:rFonts w:cs="Times New Roman"/>
          <w:b/>
          <w:kern w:val="3"/>
          <w:szCs w:val="22"/>
        </w:rPr>
        <w:t>Figure 3. IPAWS Architecture</w:t>
      </w:r>
    </w:p>
    <w:p w:rsidR="00A61684" w:rsidRPr="00B57342" w:rsidP="009B3F4D" w14:paraId="0640F78F" w14:textId="77777777">
      <w:pPr>
        <w:pStyle w:val="ParaNum"/>
        <w:keepNext/>
        <w:keepLines/>
        <w:numPr>
          <w:ilvl w:val="0"/>
          <w:numId w:val="0"/>
        </w:numPr>
        <w:rPr>
          <w:rFonts w:cs="Times New Roman"/>
          <w:kern w:val="3"/>
          <w:szCs w:val="22"/>
        </w:rPr>
      </w:pPr>
      <w:r w:rsidRPr="00A61684">
        <w:rPr>
          <w:rFonts w:cs="Times New Roman"/>
          <w:noProof/>
          <w:kern w:val="3"/>
          <w:szCs w:val="22"/>
        </w:rPr>
        <w:drawing>
          <wp:inline distT="0" distB="0" distL="0" distR="0">
            <wp:extent cx="5848350" cy="3586489"/>
            <wp:effectExtent l="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47397" name="Picture 11"/>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857783" cy="3592274"/>
                    </a:xfrm>
                    <a:prstGeom prst="rect">
                      <a:avLst/>
                    </a:prstGeom>
                  </pic:spPr>
                </pic:pic>
              </a:graphicData>
            </a:graphic>
          </wp:inline>
        </w:drawing>
      </w:r>
    </w:p>
    <w:p w:rsidR="00511603" w:rsidRPr="00B57342" w:rsidP="009B3F4D" w14:paraId="0565CAF9" w14:textId="77777777">
      <w:pPr>
        <w:keepNext/>
        <w:keepLines/>
        <w:spacing w:after="120"/>
        <w:rPr>
          <w:rFonts w:cs="Times New Roman"/>
        </w:rPr>
      </w:pPr>
    </w:p>
    <w:sectPr w:rsidSect="000E1D0E">
      <w:headerReference w:type="default" r:id="rId10"/>
      <w:footerReference w:type="even" r:id="rId11"/>
      <w:footerReference w:type="default" r:id="rId12"/>
      <w:footerReference w:type="first" r:id="rId13"/>
      <w:endnotePr>
        <w:numFmt w:val="decimal"/>
      </w:endnotePr>
      <w:type w:val="continuous"/>
      <w:pgSz w:w="12240" w:h="15840"/>
      <w:pgMar w:top="63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7C9" w:rsidP="0055614C" w14:paraId="6AB8D4D7" w14:textId="77777777">
    <w:pPr>
      <w:pStyle w:val="Footer"/>
      <w:framePr w:wrap="around" w:vAnchor="text" w:hAnchor="margin" w:xAlign="center" w:y="1"/>
    </w:pPr>
    <w:r>
      <w:fldChar w:fldCharType="begin"/>
    </w:r>
    <w:r>
      <w:instrText xml:space="preserve">PAGE  </w:instrText>
    </w:r>
    <w:r>
      <w:fldChar w:fldCharType="separate"/>
    </w:r>
    <w:r>
      <w:fldChar w:fldCharType="end"/>
    </w:r>
  </w:p>
  <w:p w:rsidR="00B407C9" w14:paraId="4FCA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7C9" w:rsidP="0055614C" w14:paraId="3CC614B5" w14:textId="77777777">
    <w:pPr>
      <w:pStyle w:val="Footer"/>
      <w:framePr w:wrap="around" w:vAnchor="text" w:hAnchor="margin" w:xAlign="center" w:y="1"/>
    </w:pPr>
    <w:r>
      <w:fldChar w:fldCharType="begin"/>
    </w:r>
    <w:r>
      <w:instrText xml:space="preserve">PAGE  </w:instrText>
    </w:r>
    <w:r>
      <w:fldChar w:fldCharType="separate"/>
    </w:r>
    <w:r>
      <w:rPr>
        <w:noProof/>
      </w:rPr>
      <w:t>2</w:t>
    </w:r>
    <w:r>
      <w:fldChar w:fldCharType="end"/>
    </w:r>
  </w:p>
  <w:p w:rsidR="00B407C9" w:rsidP="007272D3" w14:paraId="4802A0BA" w14:textId="426BAC16">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7C9" w14:paraId="7F3D372E"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07C9" w14:paraId="46D4F0CA" w14:textId="77777777">
      <w:r>
        <w:separator/>
      </w:r>
    </w:p>
  </w:footnote>
  <w:footnote w:type="continuationSeparator" w:id="1">
    <w:p w:rsidR="00B407C9" w14:paraId="443E1DEC" w14:textId="77777777">
      <w:pPr>
        <w:rPr>
          <w:sz w:val="20"/>
        </w:rPr>
      </w:pPr>
      <w:r>
        <w:rPr>
          <w:sz w:val="20"/>
        </w:rPr>
        <w:t xml:space="preserve">(Continued from previous page)  </w:t>
      </w:r>
      <w:r>
        <w:rPr>
          <w:sz w:val="20"/>
        </w:rPr>
        <w:separator/>
      </w:r>
    </w:p>
  </w:footnote>
  <w:footnote w:type="continuationNotice" w:id="2">
    <w:p w:rsidR="00B407C9" w14:paraId="340D7AF5" w14:textId="77777777">
      <w:pPr>
        <w:rPr>
          <w:sz w:val="20"/>
        </w:rPr>
      </w:pPr>
      <w:r>
        <w:rPr>
          <w:sz w:val="20"/>
        </w:rPr>
        <w:t>(continued….)</w:t>
      </w:r>
    </w:p>
  </w:footnote>
  <w:footnote w:id="3">
    <w:p w:rsidR="00B407C9" w:rsidRPr="00580978" w14:paraId="2D23F4F9" w14:textId="77777777">
      <w:pPr>
        <w:pStyle w:val="FootnoteText"/>
      </w:pPr>
      <w:r>
        <w:rPr>
          <w:rStyle w:val="FootnoteReference"/>
        </w:rPr>
        <w:footnoteRef/>
      </w:r>
      <w:r>
        <w:t xml:space="preserve"> </w:t>
      </w:r>
      <w:r>
        <w:rPr>
          <w:i/>
        </w:rPr>
        <w:t>See Public Safety and Homeland Security Bureau Announces Nationwide Test of the Wireless Emergency Alert and Emergency Alert Systems on September 20, 2018</w:t>
      </w:r>
      <w:r>
        <w:t xml:space="preserve">, Public Notice, 33 FCC </w:t>
      </w:r>
      <w:r>
        <w:t>Rcd</w:t>
      </w:r>
      <w:r>
        <w:t xml:space="preserve"> 6825 (PSHSB 2018).  The test was pushed back from its originally scheduled date to the back-up test date due to ongoing response efforts to Hurricane Florence.  </w:t>
      </w:r>
      <w:r>
        <w:rPr>
          <w:i/>
        </w:rPr>
        <w:t>Public Safety and Homeland Security Bureau Notes Rescheduling of Nationwide Test of Wireless Emergency Alerts and the Emergency Alert System for October 3, 2018</w:t>
      </w:r>
      <w:r>
        <w:t xml:space="preserve">, Public Notice, 33 FCC </w:t>
      </w:r>
      <w:r>
        <w:t>Rcd</w:t>
      </w:r>
      <w:r>
        <w:t xml:space="preserve"> 8757 (PSHSB 2018).</w:t>
      </w:r>
    </w:p>
  </w:footnote>
  <w:footnote w:id="4">
    <w:p w:rsidR="00B407C9" w:rsidP="006B74A7" w14:paraId="5779B904" w14:textId="3288F397">
      <w:pPr>
        <w:pStyle w:val="FootnoteText"/>
      </w:pPr>
      <w:r>
        <w:rPr>
          <w:rStyle w:val="FootnoteReference"/>
        </w:rPr>
        <w:footnoteRef/>
      </w:r>
      <w:r>
        <w:t xml:space="preserve"> </w:t>
      </w:r>
      <w:r w:rsidRPr="00021945">
        <w:t>Participating CMS Providers are commercial mobile service providers that have elected voluntarily to transmit WEA messages.</w:t>
      </w:r>
      <w:r>
        <w:t xml:space="preserve">  </w:t>
      </w:r>
      <w:r>
        <w:rPr>
          <w:i/>
        </w:rPr>
        <w:t xml:space="preserve">See </w:t>
      </w:r>
      <w:r w:rsidRPr="00021945">
        <w:t xml:space="preserve">47 CFR § 10.10(d), </w:t>
      </w:r>
      <w:hyperlink r:id="rId1" w:anchor="co_pp_ae0d0000c5150" w:history="1">
        <w:r w:rsidRPr="00021945">
          <w:t>(f)</w:t>
        </w:r>
      </w:hyperlink>
      <w:r w:rsidRPr="00021945">
        <w:t>.</w:t>
      </w:r>
      <w:r>
        <w:t xml:space="preserve">  </w:t>
      </w:r>
    </w:p>
  </w:footnote>
  <w:footnote w:id="5">
    <w:p w:rsidR="00B407C9" w14:paraId="73BBB002" w14:textId="461E878F">
      <w:pPr>
        <w:pStyle w:val="FootnoteText"/>
      </w:pPr>
      <w:r>
        <w:rPr>
          <w:rStyle w:val="FootnoteReference"/>
        </w:rPr>
        <w:footnoteRef/>
      </w:r>
      <w:r>
        <w:t xml:space="preserve"> </w:t>
      </w:r>
      <w:r w:rsidRPr="003A2A25">
        <w:rPr>
          <w:color w:val="000000"/>
        </w:rPr>
        <w:t>The</w:t>
      </w:r>
      <w:r w:rsidRPr="00947D48">
        <w:rPr>
          <w:color w:val="000000"/>
        </w:rPr>
        <w:t xml:space="preserve"> Commission’s rules define EAS Participants as broadcast stations</w:t>
      </w:r>
      <w:r>
        <w:rPr>
          <w:color w:val="000000"/>
        </w:rPr>
        <w:t>;</w:t>
      </w:r>
      <w:r w:rsidRPr="00947D48">
        <w:rPr>
          <w:color w:val="000000"/>
        </w:rPr>
        <w:t xml:space="preserve"> cable systems; wireline video systems; wireless cable systems; direct broadcast satellite service providers; and digital audio radio service providers.  </w:t>
      </w:r>
      <w:r w:rsidRPr="00947D48">
        <w:rPr>
          <w:i/>
          <w:color w:val="000000"/>
        </w:rPr>
        <w:t>See</w:t>
      </w:r>
      <w:r w:rsidRPr="00947D48">
        <w:rPr>
          <w:color w:val="000000"/>
        </w:rPr>
        <w:t xml:space="preserve"> 47 CFR § 11.11(a).</w:t>
      </w:r>
      <w:r>
        <w:rPr>
          <w:color w:val="000000"/>
        </w:rPr>
        <w:t xml:space="preserve">  Internet Protocol Television (IPTV) providers and cable resellers are not defined in Part 11 of the rules and are considered voluntary participants in the test in the EAS Test Reporting System (ETRS), the online system used by the Commission to collect and analyze the results of nationwide EAS tests.  </w:t>
      </w:r>
      <w:r w:rsidRPr="00E853D6">
        <w:rPr>
          <w:i/>
          <w:color w:val="000000"/>
        </w:rPr>
        <w:t>See</w:t>
      </w:r>
      <w:r>
        <w:rPr>
          <w:color w:val="000000"/>
        </w:rPr>
        <w:t xml:space="preserve"> 47 CFR </w:t>
      </w:r>
      <w:r w:rsidRPr="00E853D6">
        <w:rPr>
          <w:color w:val="000000"/>
        </w:rPr>
        <w:t>§ 11.</w:t>
      </w:r>
      <w:r>
        <w:rPr>
          <w:color w:val="000000"/>
        </w:rPr>
        <w:t>61(a)(3)(iv).</w:t>
      </w:r>
    </w:p>
  </w:footnote>
  <w:footnote w:id="6">
    <w:p w:rsidR="00B407C9" w:rsidRPr="00C851E3" w:rsidP="006B74A7" w14:paraId="025C299A" w14:textId="1938BD3A">
      <w:pPr>
        <w:pStyle w:val="FootnoteText"/>
      </w:pPr>
      <w:r>
        <w:rPr>
          <w:rStyle w:val="FootnoteReference"/>
        </w:rPr>
        <w:footnoteRef/>
      </w:r>
      <w:r>
        <w:t xml:space="preserve"> CAP is an open, interoperable, XML-based standard that can include multimedia such as streaming audio or video.  </w:t>
      </w:r>
      <w:r>
        <w:rPr>
          <w:i/>
        </w:rPr>
        <w:t xml:space="preserve">See </w:t>
      </w:r>
      <w:r>
        <w:t xml:space="preserve">OASIS CAP v1.2 (IPAWS Profile for the OASIS Common Alerting Protocol IPAWS USA).  CAP messages contain standardized fields that facilitate interoperability between and among devices.  </w:t>
      </w:r>
      <w:r>
        <w:rPr>
          <w:i/>
        </w:rPr>
        <w:t xml:space="preserve">See </w:t>
      </w:r>
      <w:r>
        <w:t xml:space="preserve">47 CFR § 10.10(a); </w:t>
      </w:r>
      <w:r>
        <w:rPr>
          <w:color w:val="000000"/>
        </w:rPr>
        <w:t xml:space="preserve">Appendix at </w:t>
      </w:r>
      <w:r w:rsidR="00C123FE">
        <w:rPr>
          <w:color w:val="000000"/>
        </w:rPr>
        <w:t>30</w:t>
      </w:r>
      <w:r w:rsidRPr="00A97D96">
        <w:rPr>
          <w:color w:val="000000"/>
        </w:rPr>
        <w:t>-3</w:t>
      </w:r>
      <w:r w:rsidR="00C123FE">
        <w:rPr>
          <w:color w:val="000000"/>
        </w:rPr>
        <w:t>1</w:t>
      </w:r>
      <w:r w:rsidRPr="00A97D96">
        <w:rPr>
          <w:color w:val="000000"/>
        </w:rPr>
        <w:t>,</w:t>
      </w:r>
      <w:r>
        <w:rPr>
          <w:color w:val="000000"/>
        </w:rPr>
        <w:t xml:space="preserve"> </w:t>
      </w:r>
      <w:r w:rsidRPr="00C16B52">
        <w:rPr>
          <w:i/>
          <w:color w:val="000000"/>
        </w:rPr>
        <w:t>infra</w:t>
      </w:r>
      <w:r>
        <w:t>.</w:t>
      </w:r>
    </w:p>
  </w:footnote>
  <w:footnote w:id="7">
    <w:p w:rsidR="00B407C9" w:rsidRPr="00E25CC3" w:rsidP="00405018" w14:paraId="24B4A993" w14:textId="31EE1A05">
      <w:pPr>
        <w:pStyle w:val="FootnoteText"/>
      </w:pPr>
      <w:r>
        <w:rPr>
          <w:rStyle w:val="FootnoteReference"/>
        </w:rPr>
        <w:footnoteRef/>
      </w:r>
      <w:r>
        <w:t xml:space="preserve"> </w:t>
      </w:r>
      <w:r>
        <w:rPr>
          <w:i/>
        </w:rPr>
        <w:t>See, e.g.</w:t>
      </w:r>
      <w:r>
        <w:t xml:space="preserve">, </w:t>
      </w:r>
      <w:r w:rsidRPr="0025330A">
        <w:t>Letter from Benjamin J. Krakauer, Assistant Commissioner, Strategy &amp; Program Development, New York City Emergency Management Department, to Marlene Dortch, Secretary, Federal Communications Commission, PS Docket Nos. 15-91 and 15-94 (filed Nov. 21, 2018)</w:t>
      </w:r>
      <w:r>
        <w:t xml:space="preserve"> (NYCEM </w:t>
      </w:r>
      <w:r>
        <w:rPr>
          <w:i/>
        </w:rPr>
        <w:t xml:space="preserve">Ex </w:t>
      </w:r>
      <w:r>
        <w:rPr>
          <w:i/>
        </w:rPr>
        <w:t>Parte</w:t>
      </w:r>
      <w:r>
        <w:t xml:space="preserve">); Thomas Crane, </w:t>
      </w:r>
      <w:r>
        <w:rPr>
          <w:i/>
        </w:rPr>
        <w:t>The Presidential Alert: Was it a success?</w:t>
      </w:r>
      <w:r>
        <w:t xml:space="preserve">, </w:t>
      </w:r>
      <w:r w:rsidRPr="00EC3CFA">
        <w:rPr>
          <w:smallCaps/>
        </w:rPr>
        <w:t>Everbridge</w:t>
      </w:r>
      <w:r>
        <w:t xml:space="preserve"> (Oct. 15, 2018), </w:t>
      </w:r>
      <w:hyperlink r:id="rId2" w:history="1">
        <w:r w:rsidRPr="005324DD">
          <w:rPr>
            <w:rStyle w:val="Hyperlink"/>
          </w:rPr>
          <w:t>https://www.everbridge.com/blog/the-presidential-alert-was-it-a-success/</w:t>
        </w:r>
      </w:hyperlink>
      <w:r>
        <w:t xml:space="preserve"> (Everbridge Blog Post); Emily Dreyfuss, </w:t>
      </w:r>
      <w:r w:rsidRPr="00491EB9">
        <w:rPr>
          <w:i/>
        </w:rPr>
        <w:t>Why Didn’t I Get an Emergency Presidential Alert Text?</w:t>
      </w:r>
      <w:r>
        <w:t xml:space="preserve">, </w:t>
      </w:r>
      <w:r w:rsidRPr="00497579">
        <w:rPr>
          <w:smallCaps/>
        </w:rPr>
        <w:t>Wired</w:t>
      </w:r>
      <w:r>
        <w:rPr>
          <w:i/>
        </w:rPr>
        <w:t xml:space="preserve"> </w:t>
      </w:r>
      <w:r>
        <w:t xml:space="preserve">(Oct. 3, 2018), </w:t>
      </w:r>
      <w:hyperlink r:id="rId3" w:history="1">
        <w:r w:rsidRPr="000C0F08">
          <w:rPr>
            <w:rStyle w:val="Hyperlink"/>
          </w:rPr>
          <w:t>https://www.wired.com/story/why-didnt-i-get-emergency-presidential-alert-text/</w:t>
        </w:r>
      </w:hyperlink>
      <w:r>
        <w:t xml:space="preserve"> (</w:t>
      </w:r>
      <w:r>
        <w:rPr>
          <w:i/>
        </w:rPr>
        <w:t xml:space="preserve">Wired </w:t>
      </w:r>
      <w:r>
        <w:t>article).</w:t>
      </w:r>
    </w:p>
  </w:footnote>
  <w:footnote w:id="8">
    <w:p w:rsidR="00B407C9" w:rsidP="00660AEA" w14:paraId="41DA41D3" w14:textId="77777777">
      <w:pPr>
        <w:pStyle w:val="FootnoteText"/>
      </w:pPr>
      <w:r>
        <w:rPr>
          <w:rStyle w:val="FootnoteReference"/>
        </w:rPr>
        <w:footnoteRef/>
      </w:r>
      <w:r>
        <w:t xml:space="preserve"> The term “alert originator” refers to a federal, state, territorial, tribal, or local entity authorized by FEMA to use IPAWS to issue critical public alerts and warnings in emergency situations.  </w:t>
      </w:r>
      <w:r>
        <w:rPr>
          <w:i/>
        </w:rPr>
        <w:t xml:space="preserve">See </w:t>
      </w:r>
      <w:r>
        <w:t xml:space="preserve">FEMA, </w:t>
      </w:r>
      <w:r>
        <w:rPr>
          <w:i/>
        </w:rPr>
        <w:t>Alerting Authorities</w:t>
      </w:r>
      <w:r>
        <w:t xml:space="preserve">, </w:t>
      </w:r>
      <w:hyperlink r:id="rId4" w:history="1">
        <w:r w:rsidRPr="00F4159D">
          <w:rPr>
            <w:rStyle w:val="Hyperlink"/>
          </w:rPr>
          <w:t>https://www.fema.gov/alerting-authorities</w:t>
        </w:r>
      </w:hyperlink>
      <w:r>
        <w:t xml:space="preserve"> (last updated Oct. 11, 2018, 12:47 p.m.).  </w:t>
      </w:r>
    </w:p>
  </w:footnote>
  <w:footnote w:id="9">
    <w:p w:rsidR="00B407C9" w14:paraId="6D1C08D3" w14:textId="1BDD5A09">
      <w:pPr>
        <w:pStyle w:val="FootnoteText"/>
      </w:pPr>
      <w:r>
        <w:rPr>
          <w:rStyle w:val="FootnoteReference"/>
        </w:rPr>
        <w:footnoteRef/>
      </w:r>
      <w:r>
        <w:t xml:space="preserve"> </w:t>
      </w:r>
      <w:r w:rsidRPr="00A150FE">
        <w:rPr>
          <w:bCs/>
        </w:rPr>
        <w:t>The AMBER (America’s</w:t>
      </w:r>
      <w:r>
        <w:rPr>
          <w:bCs/>
        </w:rPr>
        <w:t xml:space="preserve"> </w:t>
      </w:r>
      <w:r w:rsidRPr="00A150FE">
        <w:rPr>
          <w:bCs/>
        </w:rPr>
        <w:t>Missing: Broadcast Emergency Response) program is a nationwide alerting program designed to help bring missing</w:t>
      </w:r>
      <w:r>
        <w:rPr>
          <w:bCs/>
        </w:rPr>
        <w:t xml:space="preserve"> </w:t>
      </w:r>
      <w:r w:rsidRPr="00A150FE">
        <w:rPr>
          <w:bCs/>
        </w:rPr>
        <w:t xml:space="preserve">children to safety. </w:t>
      </w:r>
      <w:r>
        <w:rPr>
          <w:bCs/>
        </w:rPr>
        <w:t xml:space="preserve"> </w:t>
      </w:r>
      <w:r w:rsidRPr="00A150FE">
        <w:rPr>
          <w:bCs/>
          <w:i/>
          <w:iCs/>
        </w:rPr>
        <w:t xml:space="preserve">See </w:t>
      </w:r>
      <w:r w:rsidRPr="00A150FE">
        <w:rPr>
          <w:bCs/>
        </w:rPr>
        <w:t xml:space="preserve">Office of Justice Programs, </w:t>
      </w:r>
      <w:r w:rsidRPr="00A150FE">
        <w:rPr>
          <w:bCs/>
          <w:i/>
          <w:iCs/>
        </w:rPr>
        <w:t>AMBERAlert.gov</w:t>
      </w:r>
      <w:r w:rsidRPr="00A150FE">
        <w:rPr>
          <w:bCs/>
        </w:rPr>
        <w:t xml:space="preserve">, </w:t>
      </w:r>
      <w:hyperlink r:id="rId5" w:history="1">
        <w:r w:rsidRPr="00D133D1" w:rsidR="00703FE6">
          <w:rPr>
            <w:rStyle w:val="Hyperlink"/>
            <w:bCs/>
          </w:rPr>
          <w:t>http://www.amberalert.gov/about.htm</w:t>
        </w:r>
      </w:hyperlink>
      <w:r w:rsidR="00703FE6">
        <w:rPr>
          <w:bCs/>
        </w:rPr>
        <w:t xml:space="preserve"> </w:t>
      </w:r>
      <w:r w:rsidRPr="00A150FE">
        <w:rPr>
          <w:bCs/>
        </w:rPr>
        <w:t>(last</w:t>
      </w:r>
      <w:r>
        <w:rPr>
          <w:bCs/>
        </w:rPr>
        <w:t xml:space="preserve"> </w:t>
      </w:r>
      <w:r w:rsidRPr="00A150FE">
        <w:rPr>
          <w:bCs/>
        </w:rPr>
        <w:t xml:space="preserve">visited </w:t>
      </w:r>
      <w:r>
        <w:rPr>
          <w:bCs/>
        </w:rPr>
        <w:t>Mar. 11</w:t>
      </w:r>
      <w:r w:rsidRPr="00A150FE">
        <w:rPr>
          <w:bCs/>
        </w:rPr>
        <w:t>, 201</w:t>
      </w:r>
      <w:r>
        <w:rPr>
          <w:bCs/>
        </w:rPr>
        <w:t>9</w:t>
      </w:r>
      <w:r w:rsidRPr="00A150FE">
        <w:rPr>
          <w:bCs/>
        </w:rPr>
        <w:t>).</w:t>
      </w:r>
    </w:p>
  </w:footnote>
  <w:footnote w:id="10">
    <w:p w:rsidR="00B407C9" w:rsidRPr="00C851E3" w:rsidP="006B74A7" w14:paraId="678B8A4D" w14:textId="5402BF75">
      <w:pPr>
        <w:pStyle w:val="FootnoteText"/>
      </w:pPr>
      <w:r>
        <w:rPr>
          <w:rStyle w:val="FootnoteReference"/>
        </w:rPr>
        <w:footnoteRef/>
      </w:r>
      <w:r>
        <w:t xml:space="preserve"> </w:t>
      </w:r>
      <w:r>
        <w:rPr>
          <w:i/>
        </w:rPr>
        <w:t xml:space="preserve">See </w:t>
      </w:r>
      <w:r>
        <w:t>47 CFR § 10.10(a) (defining an “Alert Message” as “a message that is intended to provide the recipient information regarding an emergency, and that meets the requirements for transmission by a Participating Commercial Mobile Service Provider under this part”).</w:t>
      </w:r>
    </w:p>
  </w:footnote>
  <w:footnote w:id="11">
    <w:p w:rsidR="00B407C9" w:rsidP="00E21A69" w14:paraId="6F458B5B" w14:textId="76CBD78B">
      <w:pPr>
        <w:pStyle w:val="FootnoteText"/>
      </w:pPr>
      <w:r>
        <w:rPr>
          <w:rStyle w:val="FootnoteReference"/>
        </w:rPr>
        <w:footnoteRef/>
      </w:r>
      <w:r>
        <w:t xml:space="preserve"> </w:t>
      </w:r>
      <w:r>
        <w:rPr>
          <w:i/>
        </w:rPr>
        <w:t>Id</w:t>
      </w:r>
      <w:r>
        <w:t xml:space="preserve">. at </w:t>
      </w:r>
      <w:r w:rsidRPr="00BC5122">
        <w:t>§</w:t>
      </w:r>
      <w:r>
        <w:t xml:space="preserve">§ 10.10(f), (k), (l); 10.210. </w:t>
      </w:r>
      <w:r w:rsidRPr="006C3B0B">
        <w:t xml:space="preserve"> CMS Providers are considered to participate in WEA “in whole” when they agree to transmit WEA Alert Messages in a manner consistent with the technical standards, protocols, procedures, and other technical requirements implemented by the Commission in the entirety of their geographic service area, and when all mobile devices that they offer at the point of sale are WEA-capable.</w:t>
      </w:r>
      <w:r>
        <w:t xml:space="preserve">  </w:t>
      </w:r>
      <w:r w:rsidRPr="00A70222">
        <w:rPr>
          <w:i/>
        </w:rPr>
        <w:t>Id</w:t>
      </w:r>
      <w:r>
        <w:t>. at</w:t>
      </w:r>
      <w:r w:rsidRPr="00BC5122">
        <w:t xml:space="preserve"> § 10.10(k).</w:t>
      </w:r>
      <w:r>
        <w:t xml:space="preserve">  </w:t>
      </w:r>
      <w:r w:rsidRPr="006C3B0B">
        <w:t>CMS Providers participate in WEA “in part” when they agree to transmit WEA Alert Messages in a manner consistent with the technical standards, protocols, procedures, and other technical requirements implemented by the Commission in some, but not in all, of their geographic service areas, or not all mobile devices that they offer at the point of sale are WEA-capable.</w:t>
      </w:r>
      <w:r>
        <w:t xml:space="preserve">  </w:t>
      </w:r>
      <w:r w:rsidRPr="00A70222">
        <w:rPr>
          <w:i/>
        </w:rPr>
        <w:t>Id</w:t>
      </w:r>
      <w:r>
        <w:t>. at</w:t>
      </w:r>
      <w:r w:rsidRPr="00BC5122">
        <w:t xml:space="preserve"> § 10.10(</w:t>
      </w:r>
      <w:r>
        <w:t>l</w:t>
      </w:r>
      <w:r w:rsidRPr="00BC5122">
        <w:t>).</w:t>
      </w:r>
      <w:r>
        <w:t xml:space="preserve">  </w:t>
      </w:r>
    </w:p>
  </w:footnote>
  <w:footnote w:id="12">
    <w:p w:rsidR="00B407C9" w:rsidP="00E21A69" w14:paraId="5A0004AA" w14:textId="1FE6B30B">
      <w:pPr>
        <w:pStyle w:val="FootnoteText"/>
      </w:pPr>
      <w:r>
        <w:rPr>
          <w:rStyle w:val="FootnoteReference"/>
        </w:rPr>
        <w:footnoteRef/>
      </w:r>
      <w:r>
        <w:t xml:space="preserve"> </w:t>
      </w:r>
      <w:r>
        <w:rPr>
          <w:i/>
        </w:rPr>
        <w:t>Id</w:t>
      </w:r>
      <w:r>
        <w:t>. at §</w:t>
      </w:r>
      <w:r w:rsidR="00703FE6">
        <w:t>§</w:t>
      </w:r>
      <w:r>
        <w:t xml:space="preserve"> 10.10(d), (f), (k), (l)</w:t>
      </w:r>
      <w:r w:rsidR="00703FE6">
        <w:t>; 10.210</w:t>
      </w:r>
      <w:r>
        <w:t>.</w:t>
      </w:r>
    </w:p>
  </w:footnote>
  <w:footnote w:id="13">
    <w:p w:rsidR="00B407C9" w:rsidRPr="00A150FE" w:rsidP="00405018" w14:paraId="4DBFC918" w14:textId="4DEAEE1A">
      <w:pPr>
        <w:autoSpaceDE w:val="0"/>
        <w:autoSpaceDN w:val="0"/>
        <w:adjustRightInd w:val="0"/>
        <w:spacing w:after="120"/>
        <w:rPr>
          <w:rFonts w:eastAsia="Times New Roman" w:cs="Times New Roman"/>
          <w:bCs w:val="0"/>
          <w:kern w:val="0"/>
          <w:sz w:val="20"/>
          <w:szCs w:val="20"/>
          <w:lang w:eastAsia="en-US"/>
        </w:rPr>
      </w:pPr>
      <w:r w:rsidRPr="00A150FE">
        <w:rPr>
          <w:rStyle w:val="FootnoteReference"/>
          <w:sz w:val="20"/>
          <w:szCs w:val="20"/>
        </w:rPr>
        <w:footnoteRef/>
      </w:r>
      <w:r w:rsidRPr="00A150FE">
        <w:rPr>
          <w:sz w:val="20"/>
          <w:szCs w:val="20"/>
        </w:rPr>
        <w:t xml:space="preserve"> </w:t>
      </w:r>
      <w:r>
        <w:rPr>
          <w:rFonts w:eastAsia="Times New Roman" w:cs="Times New Roman"/>
          <w:bCs w:val="0"/>
          <w:iCs/>
          <w:kern w:val="0"/>
          <w:sz w:val="20"/>
          <w:szCs w:val="20"/>
          <w:lang w:eastAsia="en-US"/>
        </w:rPr>
        <w:t>Data based on PSHSB staff conversation with FEMA on March 11, 2019.</w:t>
      </w:r>
      <w:r w:rsidRPr="00A150FE">
        <w:rPr>
          <w:rFonts w:eastAsia="Times New Roman" w:cs="Times New Roman"/>
          <w:bCs w:val="0"/>
          <w:kern w:val="0"/>
          <w:sz w:val="20"/>
          <w:szCs w:val="20"/>
          <w:lang w:eastAsia="en-US"/>
        </w:rPr>
        <w:t xml:space="preserve"> </w:t>
      </w:r>
      <w:r>
        <w:rPr>
          <w:rFonts w:eastAsia="Times New Roman" w:cs="Times New Roman"/>
          <w:bCs w:val="0"/>
          <w:kern w:val="0"/>
          <w:sz w:val="20"/>
          <w:szCs w:val="20"/>
          <w:lang w:eastAsia="en-US"/>
        </w:rPr>
        <w:t xml:space="preserve"> </w:t>
      </w:r>
    </w:p>
  </w:footnote>
  <w:footnote w:id="14">
    <w:p w:rsidR="00B407C9" w:rsidRPr="00A150FE" w:rsidP="00405018" w14:paraId="519287AB" w14:textId="77777777">
      <w:pPr>
        <w:autoSpaceDE w:val="0"/>
        <w:autoSpaceDN w:val="0"/>
        <w:adjustRightInd w:val="0"/>
        <w:spacing w:after="120"/>
        <w:rPr>
          <w:rFonts w:eastAsia="Times New Roman" w:cs="Times New Roman"/>
          <w:bCs w:val="0"/>
          <w:kern w:val="0"/>
          <w:sz w:val="20"/>
          <w:szCs w:val="20"/>
          <w:lang w:eastAsia="en-US"/>
        </w:rPr>
      </w:pPr>
      <w:r w:rsidRPr="00A150FE">
        <w:rPr>
          <w:rStyle w:val="FootnoteReference"/>
          <w:sz w:val="20"/>
          <w:szCs w:val="20"/>
        </w:rPr>
        <w:footnoteRef/>
      </w:r>
      <w:r w:rsidRPr="00A150FE">
        <w:rPr>
          <w:sz w:val="20"/>
          <w:szCs w:val="20"/>
        </w:rPr>
        <w:t xml:space="preserve"> </w:t>
      </w:r>
      <w:r w:rsidRPr="00A150FE">
        <w:rPr>
          <w:rFonts w:eastAsia="Times New Roman" w:cs="Times New Roman"/>
          <w:bCs w:val="0"/>
          <w:i/>
          <w:iCs/>
          <w:kern w:val="0"/>
          <w:sz w:val="20"/>
          <w:szCs w:val="20"/>
          <w:lang w:eastAsia="en-US"/>
        </w:rPr>
        <w:t xml:space="preserve">See </w:t>
      </w:r>
      <w:r w:rsidRPr="00955439">
        <w:rPr>
          <w:rFonts w:eastAsia="Times New Roman" w:cs="Times New Roman"/>
          <w:bCs w:val="0"/>
          <w:i/>
          <w:kern w:val="0"/>
          <w:sz w:val="20"/>
          <w:szCs w:val="20"/>
          <w:lang w:eastAsia="en-US"/>
        </w:rPr>
        <w:t>Public Safety and Homeland Security Bureau Sets Timetable in Motion for Commercial Mobile Service Providers to Develop a System That Will Deliver Alerts to Mobile Devices</w:t>
      </w:r>
      <w:r w:rsidRPr="00A150FE">
        <w:rPr>
          <w:rFonts w:eastAsia="Times New Roman" w:cs="Times New Roman"/>
          <w:bCs w:val="0"/>
          <w:kern w:val="0"/>
          <w:sz w:val="20"/>
          <w:szCs w:val="20"/>
          <w:lang w:eastAsia="en-US"/>
        </w:rPr>
        <w:t xml:space="preserve">, PS Docket No. 07-287, </w:t>
      </w:r>
      <w:r w:rsidRPr="00955439">
        <w:rPr>
          <w:rFonts w:eastAsia="Times New Roman" w:cs="Times New Roman"/>
          <w:bCs w:val="0"/>
          <w:iCs/>
          <w:kern w:val="0"/>
          <w:sz w:val="20"/>
          <w:szCs w:val="20"/>
          <w:lang w:eastAsia="en-US"/>
        </w:rPr>
        <w:t>Public Notice</w:t>
      </w:r>
      <w:r w:rsidRPr="00955439">
        <w:rPr>
          <w:rFonts w:eastAsia="Times New Roman" w:cs="Times New Roman"/>
          <w:bCs w:val="0"/>
          <w:kern w:val="0"/>
          <w:sz w:val="20"/>
          <w:szCs w:val="20"/>
          <w:lang w:eastAsia="en-US"/>
        </w:rPr>
        <w:t>,</w:t>
      </w:r>
      <w:r w:rsidRPr="00A150FE">
        <w:rPr>
          <w:rFonts w:eastAsia="Times New Roman" w:cs="Times New Roman"/>
          <w:bCs w:val="0"/>
          <w:kern w:val="0"/>
          <w:sz w:val="20"/>
          <w:szCs w:val="20"/>
          <w:lang w:eastAsia="en-US"/>
        </w:rPr>
        <w:t xml:space="preserve"> 24 FCC </w:t>
      </w:r>
      <w:r w:rsidRPr="00A150FE">
        <w:rPr>
          <w:rFonts w:eastAsia="Times New Roman" w:cs="Times New Roman"/>
          <w:bCs w:val="0"/>
          <w:kern w:val="0"/>
          <w:sz w:val="20"/>
          <w:szCs w:val="20"/>
          <w:lang w:eastAsia="en-US"/>
        </w:rPr>
        <w:t>Rcd</w:t>
      </w:r>
      <w:r w:rsidRPr="00A150FE">
        <w:rPr>
          <w:rFonts w:eastAsia="Times New Roman" w:cs="Times New Roman"/>
          <w:bCs w:val="0"/>
          <w:kern w:val="0"/>
          <w:sz w:val="20"/>
          <w:szCs w:val="20"/>
          <w:lang w:eastAsia="en-US"/>
        </w:rPr>
        <w:t xml:space="preserve"> 14388 (PSHSB 2009).</w:t>
      </w:r>
    </w:p>
  </w:footnote>
  <w:footnote w:id="15">
    <w:p w:rsidR="00B407C9" w14:paraId="7D6B7ED0" w14:textId="77777777">
      <w:pPr>
        <w:pStyle w:val="FootnoteText"/>
      </w:pPr>
      <w:r>
        <w:rPr>
          <w:rStyle w:val="FootnoteReference"/>
        </w:rPr>
        <w:footnoteRef/>
      </w:r>
      <w:r>
        <w:t xml:space="preserve"> </w:t>
      </w:r>
      <w:r w:rsidRPr="00055078">
        <w:rPr>
          <w:i/>
        </w:rPr>
        <w:t>See</w:t>
      </w:r>
      <w:r>
        <w:t xml:space="preserve"> 47 CFR </w:t>
      </w:r>
      <w:r w:rsidRPr="00C00785">
        <w:rPr>
          <w:bCs/>
        </w:rPr>
        <w:t>§§</w:t>
      </w:r>
      <w:r>
        <w:rPr>
          <w:bCs/>
        </w:rPr>
        <w:t xml:space="preserve"> 11.2(a), 11.11, 11.54.</w:t>
      </w:r>
    </w:p>
  </w:footnote>
  <w:footnote w:id="16">
    <w:p w:rsidR="00B407C9" w14:paraId="1FECEDA5" w14:textId="2258D259">
      <w:pPr>
        <w:pStyle w:val="FootnoteText"/>
      </w:pPr>
      <w:r>
        <w:rPr>
          <w:rStyle w:val="FootnoteReference"/>
        </w:rPr>
        <w:footnoteRef/>
      </w:r>
      <w:r>
        <w:t xml:space="preserve"> </w:t>
      </w:r>
      <w:r w:rsidRPr="00DE2605">
        <w:rPr>
          <w:i/>
        </w:rPr>
        <w:t>See</w:t>
      </w:r>
      <w:r>
        <w:t xml:space="preserve"> Appendix, </w:t>
      </w:r>
      <w:r w:rsidRPr="00DE2605">
        <w:rPr>
          <w:i/>
        </w:rPr>
        <w:t>infra</w:t>
      </w:r>
      <w:r w:rsidRPr="00A97D96">
        <w:t>, at 29.</w:t>
      </w:r>
      <w:r>
        <w:t xml:space="preserve">  </w:t>
      </w:r>
      <w:r w:rsidRPr="00C00785">
        <w:rPr>
          <w:i/>
        </w:rPr>
        <w:t>See also</w:t>
      </w:r>
      <w:r>
        <w:t xml:space="preserve"> </w:t>
      </w:r>
      <w:bookmarkStart w:id="36" w:name="_Hlk511212333"/>
      <w:r w:rsidRPr="00C00785">
        <w:rPr>
          <w:bCs/>
        </w:rPr>
        <w:t>47 CFR § 11.</w:t>
      </w:r>
      <w:bookmarkEnd w:id="36"/>
      <w:r w:rsidRPr="00C00785">
        <w:rPr>
          <w:bCs/>
        </w:rPr>
        <w:t>31</w:t>
      </w:r>
      <w:r>
        <w:rPr>
          <w:bCs/>
        </w:rPr>
        <w:t>.</w:t>
      </w:r>
    </w:p>
  </w:footnote>
  <w:footnote w:id="17">
    <w:p w:rsidR="00B407C9" w:rsidP="00DB2ECD" w14:paraId="5F65A4FC" w14:textId="77777777">
      <w:pPr>
        <w:pStyle w:val="FootnoteText"/>
      </w:pPr>
      <w:r w:rsidRPr="002B361E">
        <w:rPr>
          <w:rStyle w:val="FootnoteReference"/>
        </w:rPr>
        <w:footnoteRef/>
      </w:r>
      <w:r w:rsidRPr="002B361E">
        <w:t xml:space="preserve"> EAS Participant</w:t>
      </w:r>
      <w:r>
        <w:t>s</w:t>
      </w:r>
      <w:r w:rsidRPr="002B361E">
        <w:t xml:space="preserve"> </w:t>
      </w:r>
      <w:r>
        <w:t xml:space="preserve">can deliver to the public the rich </w:t>
      </w:r>
      <w:r w:rsidRPr="002B361E">
        <w:t>data contained in a CAP-formatted message</w:t>
      </w:r>
      <w:r>
        <w:t xml:space="preserve"> received directly from the IPAWS Internet feed, </w:t>
      </w:r>
      <w:r w:rsidRPr="002B361E">
        <w:t xml:space="preserve">but </w:t>
      </w:r>
      <w:r>
        <w:t xml:space="preserve">once the alert is rebroadcast over the daisy chain, the CAP data are lost, and EAS Participants receiving the alert for the first time over the air </w:t>
      </w:r>
      <w:r w:rsidRPr="002B361E">
        <w:t xml:space="preserve">cannot </w:t>
      </w:r>
      <w:r>
        <w:t xml:space="preserve">deliver CAP-based features, such as digital audio or multiple languages, to the public.  </w:t>
      </w:r>
    </w:p>
  </w:footnote>
  <w:footnote w:id="18">
    <w:p w:rsidR="00B407C9" w:rsidP="00405018" w14:paraId="597753C7" w14:textId="48BD4B77">
      <w:pPr>
        <w:pStyle w:val="FootnoteText"/>
      </w:pPr>
      <w:r>
        <w:rPr>
          <w:rStyle w:val="FootnoteReference"/>
        </w:rPr>
        <w:footnoteRef/>
      </w:r>
      <w:r>
        <w:t xml:space="preserve"> An “end-to-end” test signifies that the test, </w:t>
      </w:r>
      <w:r>
        <w:t>similar to</w:t>
      </w:r>
      <w:r>
        <w:t xml:space="preserve"> a live alert message, was initiated by Alert Originators and received on an end user’s mobile device.</w:t>
      </w:r>
      <w:r w:rsidRPr="00A57EF3">
        <w:t xml:space="preserve"> </w:t>
      </w:r>
      <w:r>
        <w:t xml:space="preserve"> The nationwide WEA test was administered pursuant to a limited waiver of the Commission’s WEA rules.  </w:t>
      </w:r>
      <w:r>
        <w:rPr>
          <w:i/>
        </w:rPr>
        <w:t>See Improving Wireless Emergency Alerts and Community-Initiated Alerting; Amendments to Part 11 of the Commission’s Rules Regarding the Emergency Alert System</w:t>
      </w:r>
      <w:r>
        <w:t xml:space="preserve">, Order, 33 FCC </w:t>
      </w:r>
      <w:r>
        <w:t>Rcd</w:t>
      </w:r>
      <w:r>
        <w:t xml:space="preserve"> 6816 (PSHSB 2018).  </w:t>
      </w:r>
      <w:r w:rsidRPr="00436ED9">
        <w:t>The Commission’s rules prohibit the use of the WEA Attention Signal except during actual emergencies, authorized tests, and certain public service announcements.</w:t>
      </w:r>
      <w:r>
        <w:t xml:space="preserve">  </w:t>
      </w:r>
      <w:r w:rsidRPr="00B0643B">
        <w:t xml:space="preserve">47 CFR § 10.520(d).  </w:t>
      </w:r>
      <w:r w:rsidRPr="00436ED9">
        <w:t>Additionally, the Commission’s rules allow testing of WEA functionality only in limited circumstances that currently do not include end-to-end WEA tests to the public.</w:t>
      </w:r>
      <w:r>
        <w:t xml:space="preserve">  </w:t>
      </w:r>
      <w:r>
        <w:rPr>
          <w:i/>
        </w:rPr>
        <w:t>Id</w:t>
      </w:r>
      <w:r>
        <w:t>. at</w:t>
      </w:r>
      <w:r w:rsidRPr="00B0643B">
        <w:rPr>
          <w:i/>
        </w:rPr>
        <w:t xml:space="preserve"> </w:t>
      </w:r>
      <w:r w:rsidRPr="00B0643B">
        <w:t xml:space="preserve">§ 10.350.  </w:t>
      </w:r>
      <w:r>
        <w:t>Entities seeking to conduct an end-to-end test must therefore request a limited waiver of the WEA rules on behalf of Participating CMS Providers.</w:t>
      </w:r>
    </w:p>
  </w:footnote>
  <w:footnote w:id="19">
    <w:p w:rsidR="00B407C9" w:rsidP="00B77410" w14:paraId="51D5D946" w14:textId="77777777">
      <w:pPr>
        <w:pStyle w:val="FootnoteText"/>
      </w:pPr>
      <w:r>
        <w:rPr>
          <w:rStyle w:val="FootnoteReference"/>
        </w:rPr>
        <w:footnoteRef/>
      </w:r>
      <w:r>
        <w:t xml:space="preserve"> </w:t>
      </w:r>
      <w:r w:rsidRPr="007801C9">
        <w:t xml:space="preserve">Guam, American Samoa, and the Commonwealth of the Northern Mariana Islands did not receive the WEA portion of the test because they do not have cellular </w:t>
      </w:r>
      <w:r>
        <w:t>providers</w:t>
      </w:r>
      <w:r w:rsidRPr="007801C9">
        <w:t xml:space="preserve"> that participate in WEA</w:t>
      </w:r>
      <w:r>
        <w:t xml:space="preserve">.  Press Release, Guam Homeland Security/Office of Civil Defense, Nationwide Emergency Alert System Test Planned (Aug. 3, 2018, 9:45 a.m.), </w:t>
      </w:r>
      <w:hyperlink r:id="rId6" w:history="1">
        <w:r w:rsidRPr="00BF4F09">
          <w:rPr>
            <w:rStyle w:val="Hyperlink"/>
          </w:rPr>
          <w:t>https://www.ghs.guam.gov/nationwide-emergency-alert-system-test-planned</w:t>
        </w:r>
      </w:hyperlink>
      <w:r w:rsidRPr="000077AD">
        <w:rPr>
          <w:rStyle w:val="Hyperlink"/>
          <w:color w:val="auto"/>
          <w:u w:val="none"/>
        </w:rPr>
        <w:t>.</w:t>
      </w:r>
    </w:p>
  </w:footnote>
  <w:footnote w:id="20">
    <w:p w:rsidR="00B407C9" w:rsidP="00405018" w14:paraId="13FD466C" w14:textId="1992C7B7">
      <w:pPr>
        <w:pStyle w:val="FootnoteText"/>
      </w:pPr>
      <w:r>
        <w:rPr>
          <w:rStyle w:val="FootnoteReference"/>
        </w:rPr>
        <w:footnoteRef/>
      </w:r>
      <w:r>
        <w:t xml:space="preserve"> </w:t>
      </w:r>
      <w:r w:rsidRPr="00497579">
        <w:rPr>
          <w:i/>
        </w:rPr>
        <w:t>See</w:t>
      </w:r>
      <w:r>
        <w:rPr>
          <w:i/>
        </w:rPr>
        <w:t>, e.g.</w:t>
      </w:r>
      <w:r>
        <w:t xml:space="preserve">, NYCEM </w:t>
      </w:r>
      <w:r>
        <w:rPr>
          <w:i/>
        </w:rPr>
        <w:t xml:space="preserve">Ex </w:t>
      </w:r>
      <w:r>
        <w:rPr>
          <w:i/>
        </w:rPr>
        <w:t>Parte</w:t>
      </w:r>
      <w:r>
        <w:t xml:space="preserve">; Everbridge Blog Post; </w:t>
      </w:r>
      <w:r w:rsidRPr="002B0487">
        <w:t>Kortnie</w:t>
      </w:r>
      <w:r w:rsidRPr="002B0487">
        <w:t xml:space="preserve"> </w:t>
      </w:r>
      <w:r w:rsidRPr="002B0487">
        <w:t>Horazdovsky</w:t>
      </w:r>
      <w:r>
        <w:t xml:space="preserve">, </w:t>
      </w:r>
      <w:r w:rsidRPr="002B0487">
        <w:rPr>
          <w:i/>
        </w:rPr>
        <w:t>'Presidential Alert' results in Alaska split almost 50-50, survey says</w:t>
      </w:r>
      <w:r>
        <w:t xml:space="preserve">, </w:t>
      </w:r>
      <w:r w:rsidRPr="00632A76">
        <w:rPr>
          <w:smallCaps/>
        </w:rPr>
        <w:t>KTUU</w:t>
      </w:r>
      <w:r>
        <w:rPr>
          <w:i/>
        </w:rPr>
        <w:t xml:space="preserve"> </w:t>
      </w:r>
      <w:r>
        <w:t xml:space="preserve">(Oct. 10, 2018), </w:t>
      </w:r>
      <w:hyperlink r:id="rId7" w:history="1">
        <w:r w:rsidRPr="000C0F08">
          <w:rPr>
            <w:rStyle w:val="Hyperlink"/>
          </w:rPr>
          <w:t>https://www.ktuu.com/content/news/Presidential-Alert-results-in-Alaska-split-almost-50-50-survey-says-496752991.html</w:t>
        </w:r>
      </w:hyperlink>
      <w:r>
        <w:t xml:space="preserve"> (KTUU Alaska News Report).</w:t>
      </w:r>
    </w:p>
  </w:footnote>
  <w:footnote w:id="21">
    <w:p w:rsidR="00B407C9" w:rsidRPr="003B6A68" w:rsidP="00405018" w14:paraId="7683579A" w14:textId="77777777">
      <w:pPr>
        <w:pStyle w:val="FootnoteText"/>
      </w:pPr>
      <w:r>
        <w:rPr>
          <w:rStyle w:val="FootnoteReference"/>
        </w:rPr>
        <w:footnoteRef/>
      </w:r>
      <w:r>
        <w:t xml:space="preserve"> NYCEM </w:t>
      </w:r>
      <w:r>
        <w:rPr>
          <w:i/>
        </w:rPr>
        <w:t xml:space="preserve">Ex </w:t>
      </w:r>
      <w:r>
        <w:rPr>
          <w:i/>
        </w:rPr>
        <w:t>Parte</w:t>
      </w:r>
      <w:r>
        <w:rPr>
          <w:i/>
        </w:rPr>
        <w:t xml:space="preserve"> </w:t>
      </w:r>
      <w:r>
        <w:t>Attachment at 3.</w:t>
      </w:r>
    </w:p>
  </w:footnote>
  <w:footnote w:id="22">
    <w:p w:rsidR="00B407C9" w:rsidP="00405018" w14:paraId="27C49BE5" w14:textId="77777777">
      <w:pPr>
        <w:pStyle w:val="FootnoteText"/>
      </w:pPr>
      <w:r>
        <w:rPr>
          <w:rStyle w:val="FootnoteReference"/>
        </w:rPr>
        <w:footnoteRef/>
      </w:r>
      <w:r>
        <w:t xml:space="preserve"> </w:t>
      </w:r>
      <w:r w:rsidRPr="00A70222">
        <w:rPr>
          <w:i/>
        </w:rPr>
        <w:t>Id</w:t>
      </w:r>
      <w:r>
        <w:t xml:space="preserve">. at 3, 5.  NYCEM received responses from across the nation, with only 1,705 of the 2,351 responses received coming from New York City.  </w:t>
      </w:r>
      <w:r>
        <w:rPr>
          <w:i/>
        </w:rPr>
        <w:t>Id</w:t>
      </w:r>
      <w:r>
        <w:t>. at 3.</w:t>
      </w:r>
    </w:p>
  </w:footnote>
  <w:footnote w:id="23">
    <w:p w:rsidR="00B407C9" w:rsidRPr="003B6A68" w:rsidP="00405018" w14:paraId="3C9D57DD" w14:textId="77777777">
      <w:pPr>
        <w:pStyle w:val="FootnoteText"/>
      </w:pPr>
      <w:r>
        <w:rPr>
          <w:rStyle w:val="FootnoteReference"/>
        </w:rPr>
        <w:footnoteRef/>
      </w:r>
      <w:r>
        <w:t xml:space="preserve"> NYCEM reports that 17.3% of respondents did not receive the WEA test message, while 1.3% were unsure if they received the message and/or skipped the question.  </w:t>
      </w:r>
      <w:r w:rsidRPr="00A70222">
        <w:rPr>
          <w:i/>
        </w:rPr>
        <w:t>Id</w:t>
      </w:r>
      <w:r>
        <w:t>. at 5.</w:t>
      </w:r>
    </w:p>
  </w:footnote>
  <w:footnote w:id="24">
    <w:p w:rsidR="00B407C9" w:rsidRPr="003B6A68" w:rsidP="00405018" w14:paraId="7B40918C" w14:textId="77777777">
      <w:pPr>
        <w:pStyle w:val="FootnoteText"/>
      </w:pPr>
      <w:r>
        <w:rPr>
          <w:rStyle w:val="FootnoteReference"/>
        </w:rPr>
        <w:footnoteRef/>
      </w:r>
      <w:r>
        <w:t xml:space="preserve"> </w:t>
      </w:r>
      <w:r w:rsidRPr="00A70222">
        <w:rPr>
          <w:i/>
        </w:rPr>
        <w:t>Id</w:t>
      </w:r>
      <w:r>
        <w:t>.</w:t>
      </w:r>
    </w:p>
  </w:footnote>
  <w:footnote w:id="25">
    <w:p w:rsidR="00B407C9" w:rsidRPr="00541693" w:rsidP="00405018" w14:paraId="771CA702" w14:textId="77777777">
      <w:pPr>
        <w:pStyle w:val="FootnoteText"/>
      </w:pPr>
      <w:r>
        <w:rPr>
          <w:rStyle w:val="FootnoteReference"/>
        </w:rPr>
        <w:footnoteRef/>
      </w:r>
      <w:r>
        <w:t xml:space="preserve"> </w:t>
      </w:r>
      <w:r w:rsidRPr="00A70222">
        <w:rPr>
          <w:i/>
        </w:rPr>
        <w:t>Id</w:t>
      </w:r>
      <w:r>
        <w:t>. at 6.</w:t>
      </w:r>
    </w:p>
  </w:footnote>
  <w:footnote w:id="26">
    <w:p w:rsidR="00B407C9" w:rsidRPr="00C709DB" w14:paraId="2140015F" w14:textId="77777777">
      <w:pPr>
        <w:pStyle w:val="FootnoteText"/>
      </w:pPr>
      <w:r>
        <w:rPr>
          <w:rStyle w:val="FootnoteReference"/>
        </w:rPr>
        <w:footnoteRef/>
      </w:r>
      <w:r>
        <w:t xml:space="preserve"> “Other” mobile service provider includes:  </w:t>
      </w:r>
      <w:r w:rsidRPr="00C709DB">
        <w:rPr>
          <w:bCs/>
        </w:rPr>
        <w:t xml:space="preserve">Project Fi, TracFone, Boost Mobile, MetroPCS, Virgin Mobile, CREDO Mobile, Cricket, Freedom Pop, Net10, Simple Mobile, Tell, </w:t>
      </w:r>
      <w:r>
        <w:rPr>
          <w:bCs/>
        </w:rPr>
        <w:t xml:space="preserve">and </w:t>
      </w:r>
      <w:r w:rsidRPr="00C709DB">
        <w:rPr>
          <w:bCs/>
        </w:rPr>
        <w:t>Ting</w:t>
      </w:r>
      <w:r>
        <w:rPr>
          <w:bCs/>
        </w:rPr>
        <w:t xml:space="preserve">.  </w:t>
      </w:r>
      <w:r>
        <w:rPr>
          <w:bCs/>
          <w:i/>
        </w:rPr>
        <w:t>Id</w:t>
      </w:r>
      <w:r>
        <w:rPr>
          <w:bCs/>
        </w:rPr>
        <w:t>. at 7.</w:t>
      </w:r>
    </w:p>
  </w:footnote>
  <w:footnote w:id="27">
    <w:p w:rsidR="00B407C9" w:rsidRPr="007A7A19" w:rsidP="00405018" w14:paraId="2F8166EA" w14:textId="12F96ED8">
      <w:pPr>
        <w:pStyle w:val="FootnoteText"/>
      </w:pPr>
      <w:r>
        <w:rPr>
          <w:rStyle w:val="FootnoteReference"/>
        </w:rPr>
        <w:footnoteRef/>
      </w:r>
      <w:r>
        <w:t xml:space="preserve"> </w:t>
      </w:r>
      <w:r w:rsidRPr="00A70222">
        <w:rPr>
          <w:i/>
        </w:rPr>
        <w:t>Id</w:t>
      </w:r>
      <w:r>
        <w:t>.</w:t>
      </w:r>
    </w:p>
  </w:footnote>
  <w:footnote w:id="28">
    <w:p w:rsidR="00B407C9" w:rsidRPr="004370D5" w:rsidP="00405018" w14:paraId="1255EAD7" w14:textId="77777777">
      <w:pPr>
        <w:pStyle w:val="FootnoteText"/>
      </w:pPr>
      <w:r>
        <w:rPr>
          <w:rStyle w:val="FootnoteReference"/>
        </w:rPr>
        <w:footnoteRef/>
      </w:r>
      <w:r>
        <w:t xml:space="preserve"> </w:t>
      </w:r>
      <w:r w:rsidRPr="004370D5">
        <w:t>Everbridge Blog Post.</w:t>
      </w:r>
    </w:p>
  </w:footnote>
  <w:footnote w:id="29">
    <w:p w:rsidR="00B407C9" w:rsidRPr="004370D5" w:rsidP="00405018" w14:paraId="051EE6B1" w14:textId="77777777">
      <w:pPr>
        <w:pStyle w:val="FootnoteText"/>
      </w:pPr>
      <w:r w:rsidRPr="004370D5">
        <w:rPr>
          <w:rStyle w:val="FootnoteReference"/>
        </w:rPr>
        <w:footnoteRef/>
      </w:r>
      <w:r w:rsidRPr="004370D5">
        <w:t xml:space="preserve"> </w:t>
      </w:r>
      <w:r w:rsidRPr="00A70222">
        <w:rPr>
          <w:i/>
        </w:rPr>
        <w:t>Id</w:t>
      </w:r>
      <w:r w:rsidRPr="004370D5">
        <w:t>.</w:t>
      </w:r>
    </w:p>
  </w:footnote>
  <w:footnote w:id="30">
    <w:p w:rsidR="00B407C9" w:rsidRPr="004370D5" w:rsidP="00405018" w14:paraId="0D84CAB4" w14:textId="77777777">
      <w:pPr>
        <w:pStyle w:val="FootnoteText"/>
      </w:pPr>
      <w:r w:rsidRPr="004370D5">
        <w:rPr>
          <w:rStyle w:val="FootnoteReference"/>
        </w:rPr>
        <w:footnoteRef/>
      </w:r>
      <w:r w:rsidRPr="004370D5">
        <w:t xml:space="preserve"> </w:t>
      </w:r>
      <w:r w:rsidRPr="002970E5">
        <w:rPr>
          <w:i/>
        </w:rPr>
        <w:t>Id</w:t>
      </w:r>
      <w:r w:rsidRPr="004370D5">
        <w:t>.</w:t>
      </w:r>
    </w:p>
  </w:footnote>
  <w:footnote w:id="31">
    <w:p w:rsidR="00B407C9" w:rsidRPr="004370D5" w:rsidP="00405018" w14:paraId="3A6109EC" w14:textId="77777777">
      <w:pPr>
        <w:pStyle w:val="FootnoteText"/>
      </w:pPr>
      <w:r w:rsidRPr="004370D5">
        <w:rPr>
          <w:rStyle w:val="FootnoteReference"/>
        </w:rPr>
        <w:footnoteRef/>
      </w:r>
      <w:r w:rsidRPr="004370D5">
        <w:t xml:space="preserve"> </w:t>
      </w:r>
      <w:r w:rsidRPr="002970E5">
        <w:rPr>
          <w:i/>
        </w:rPr>
        <w:t>Id</w:t>
      </w:r>
      <w:r w:rsidRPr="004370D5">
        <w:t>.</w:t>
      </w:r>
    </w:p>
  </w:footnote>
  <w:footnote w:id="32">
    <w:p w:rsidR="00B407C9" w:rsidP="00405018" w14:paraId="537DD265" w14:textId="6E433DAA">
      <w:pPr>
        <w:pStyle w:val="FootnoteText"/>
      </w:pPr>
      <w:r>
        <w:rPr>
          <w:rStyle w:val="FootnoteReference"/>
        </w:rPr>
        <w:footnoteRef/>
      </w:r>
      <w:r>
        <w:t xml:space="preserve"> KTUU Alaska News Report.</w:t>
      </w:r>
    </w:p>
  </w:footnote>
  <w:footnote w:id="33">
    <w:p w:rsidR="00B407C9" w:rsidP="00405018" w14:paraId="7EA880B3" w14:textId="77777777">
      <w:pPr>
        <w:pStyle w:val="FootnoteText"/>
      </w:pPr>
      <w:r>
        <w:rPr>
          <w:rStyle w:val="FootnoteReference"/>
        </w:rPr>
        <w:footnoteRef/>
      </w:r>
      <w:r>
        <w:t xml:space="preserve"> Memorandum to Federal Communications Commission, Public Safety [and] Homeland Security Bureau, from Zainab </w:t>
      </w:r>
      <w:r>
        <w:t>Alkebsi</w:t>
      </w:r>
      <w:r>
        <w:t xml:space="preserve">, NAD Policy Counsel, National Association of the Deaf, “Experiences of deaf and hard of hearing consumers with respect to the Presidential Alert on October 3, 2018,” (Jan. 25, 2019), </w:t>
      </w:r>
      <w:r>
        <w:rPr>
          <w:i/>
        </w:rPr>
        <w:t>available with PSHSB Staff</w:t>
      </w:r>
      <w:r>
        <w:t xml:space="preserve"> (NAD Memo).  The survey included an American Sign Language (ASL) video explaining the purpose of the survey and a link to the written questions, which can be found at </w:t>
      </w:r>
      <w:hyperlink r:id="rId8" w:history="1">
        <w:r w:rsidRPr="005D2B00">
          <w:rPr>
            <w:rStyle w:val="Hyperlink"/>
          </w:rPr>
          <w:t>https://www.nad.org/national-alert-survey/</w:t>
        </w:r>
      </w:hyperlink>
      <w:r>
        <w:t xml:space="preserve">. </w:t>
      </w:r>
    </w:p>
  </w:footnote>
  <w:footnote w:id="34">
    <w:p w:rsidR="00B407C9" w:rsidP="00405018" w14:paraId="215E51BC" w14:textId="77777777">
      <w:pPr>
        <w:pStyle w:val="FootnoteText"/>
      </w:pPr>
      <w:r>
        <w:rPr>
          <w:rStyle w:val="FootnoteReference"/>
        </w:rPr>
        <w:footnoteRef/>
      </w:r>
      <w:r>
        <w:t xml:space="preserve"> NAD Memo at 1.</w:t>
      </w:r>
    </w:p>
  </w:footnote>
  <w:footnote w:id="35">
    <w:p w:rsidR="00B407C9" w:rsidP="00405018" w14:paraId="3A7252C4" w14:textId="77777777">
      <w:pPr>
        <w:pStyle w:val="FootnoteText"/>
      </w:pPr>
      <w:r>
        <w:rPr>
          <w:rStyle w:val="FootnoteReference"/>
        </w:rPr>
        <w:footnoteRef/>
      </w:r>
      <w:r>
        <w:t xml:space="preserve"> </w:t>
      </w:r>
      <w:r w:rsidRPr="003C78D4">
        <w:rPr>
          <w:i/>
        </w:rPr>
        <w:t>Id</w:t>
      </w:r>
      <w:r>
        <w:t>. at 1-2.</w:t>
      </w:r>
    </w:p>
  </w:footnote>
  <w:footnote w:id="36">
    <w:p w:rsidR="00B407C9" w:rsidP="00405018" w14:paraId="4EDE0F41" w14:textId="77777777">
      <w:pPr>
        <w:pStyle w:val="FootnoteText"/>
      </w:pPr>
      <w:r>
        <w:rPr>
          <w:rStyle w:val="FootnoteReference"/>
        </w:rPr>
        <w:footnoteRef/>
      </w:r>
      <w:r>
        <w:t xml:space="preserve"> </w:t>
      </w:r>
      <w:r w:rsidRPr="003C78D4">
        <w:rPr>
          <w:i/>
        </w:rPr>
        <w:t>Id</w:t>
      </w:r>
      <w:r>
        <w:t>. at 2.</w:t>
      </w:r>
    </w:p>
  </w:footnote>
  <w:footnote w:id="37">
    <w:p w:rsidR="00B407C9" w:rsidP="00405018" w14:paraId="60B77416" w14:textId="77777777">
      <w:pPr>
        <w:pStyle w:val="FootnoteText"/>
      </w:pPr>
      <w:r>
        <w:rPr>
          <w:rStyle w:val="FootnoteReference"/>
        </w:rPr>
        <w:footnoteRef/>
      </w:r>
      <w:r>
        <w:t xml:space="preserve"> Responses received as of 12:00 p.m. on October 10, 2018.</w:t>
      </w:r>
    </w:p>
  </w:footnote>
  <w:footnote w:id="38">
    <w:p w:rsidR="00B407C9" w:rsidP="00405018" w14:paraId="78ED5D4F" w14:textId="77777777">
      <w:pPr>
        <w:pStyle w:val="FootnoteText"/>
      </w:pPr>
      <w:r>
        <w:rPr>
          <w:rStyle w:val="FootnoteReference"/>
        </w:rPr>
        <w:footnoteRef/>
      </w:r>
      <w:r>
        <w:t xml:space="preserve"> </w:t>
      </w:r>
      <w:bookmarkStart w:id="67" w:name="_Hlk3204914"/>
      <w:r>
        <w:t>Complaints received as of 1:30 p.m. on October 4, 2018.</w:t>
      </w:r>
      <w:bookmarkEnd w:id="67"/>
    </w:p>
  </w:footnote>
  <w:footnote w:id="39">
    <w:p w:rsidR="00B407C9" w:rsidP="00405018" w14:paraId="4521A06D" w14:textId="77777777">
      <w:pPr>
        <w:pStyle w:val="FootnoteText"/>
      </w:pPr>
      <w:r>
        <w:rPr>
          <w:rStyle w:val="FootnoteReference"/>
        </w:rPr>
        <w:footnoteRef/>
      </w:r>
      <w:r>
        <w:t xml:space="preserve"> </w:t>
      </w:r>
      <w:bookmarkStart w:id="69" w:name="_Hlk3204938"/>
      <w:r>
        <w:t xml:space="preserve">The CGB call center received about 65 calls on the day of the test and ten calls between 8:00 a.m. and 1:30 p.m. on the day following the test.  There was a higher call volume immediately following the test, which resulted in a higher abandonment rate; therefore, it is possible the call center received additional calls not reflected in this total. </w:t>
      </w:r>
      <w:bookmarkEnd w:id="69"/>
    </w:p>
  </w:footnote>
  <w:footnote w:id="40">
    <w:p w:rsidR="00B407C9" w:rsidP="00405018" w14:paraId="361451D6" w14:textId="77777777">
      <w:pPr>
        <w:pStyle w:val="FootnoteText"/>
      </w:pPr>
      <w:r>
        <w:rPr>
          <w:rStyle w:val="FootnoteReference"/>
        </w:rPr>
        <w:footnoteRef/>
      </w:r>
      <w:r>
        <w:t xml:space="preserve"> Feedback received as of 4:00 p.m. on October 10, 2018.</w:t>
      </w:r>
    </w:p>
  </w:footnote>
  <w:footnote w:id="41">
    <w:p w:rsidR="00B407C9" w:rsidP="00DB2ECD" w14:paraId="44944939" w14:textId="77777777">
      <w:pPr>
        <w:pStyle w:val="FootnoteText"/>
      </w:pPr>
      <w:r w:rsidRPr="00841B45">
        <w:rPr>
          <w:rStyle w:val="FootnoteReference"/>
          <w:sz w:val="20"/>
        </w:rPr>
        <w:footnoteRef/>
      </w:r>
      <w:r w:rsidRPr="00841B45">
        <w:t xml:space="preserve"> </w:t>
      </w:r>
      <w:r w:rsidRPr="001F21EA">
        <w:rPr>
          <w:i/>
        </w:rPr>
        <w:t>See</w:t>
      </w:r>
      <w:r>
        <w:t xml:space="preserve"> </w:t>
      </w:r>
      <w:r w:rsidRPr="00A150FE">
        <w:t>FCC, PSHSB, Report: September 28, 2016 Nationwide</w:t>
      </w:r>
      <w:r w:rsidRPr="00A1797D">
        <w:t xml:space="preserve"> EAS Test </w:t>
      </w:r>
      <w:r>
        <w:t xml:space="preserve">at 3 </w:t>
      </w:r>
      <w:r w:rsidRPr="003B1F31">
        <w:t>(2016)</w:t>
      </w:r>
      <w:r>
        <w:t xml:space="preserve">, </w:t>
      </w:r>
      <w:hyperlink r:id="rId9" w:history="1">
        <w:r w:rsidRPr="00F4159D">
          <w:rPr>
            <w:rStyle w:val="Hyperlink"/>
          </w:rPr>
          <w:t>https://apps.fcc.gov/edocs_public/attachmatch/DOC-344518A1.pdf</w:t>
        </w:r>
      </w:hyperlink>
      <w:r>
        <w:t xml:space="preserve"> </w:t>
      </w:r>
      <w:r w:rsidRPr="00B57342">
        <w:t>(</w:t>
      </w:r>
      <w:r w:rsidRPr="00B57342">
        <w:rPr>
          <w:i/>
        </w:rPr>
        <w:t>2016</w:t>
      </w:r>
      <w:r>
        <w:rPr>
          <w:i/>
        </w:rPr>
        <w:t xml:space="preserve"> Nationwide EAS Test Report</w:t>
      </w:r>
      <w:r>
        <w:t xml:space="preserve">); FCC, PSHSB, Report: September 27, 2017 Nationwide EAS Test at 3 (2017), </w:t>
      </w:r>
      <w:hyperlink r:id="rId10" w:history="1">
        <w:r w:rsidRPr="00830181">
          <w:rPr>
            <w:rStyle w:val="Hyperlink"/>
          </w:rPr>
          <w:t>https://www.fcc.gov/document/report-2017-nationwide-emergency-alert-system-test</w:t>
        </w:r>
      </w:hyperlink>
      <w:r>
        <w:t xml:space="preserve"> (</w:t>
      </w:r>
      <w:r>
        <w:rPr>
          <w:i/>
        </w:rPr>
        <w:t>2017 Nationwide EAS Test Report</w:t>
      </w:r>
      <w:r>
        <w:t xml:space="preserve">).  For the 2011 Nationwide EAS Test, </w:t>
      </w:r>
      <w:r w:rsidRPr="00AE240C">
        <w:t>FEMA</w:t>
      </w:r>
      <w:r>
        <w:t xml:space="preserve"> did not use the test code but rather </w:t>
      </w:r>
      <w:r w:rsidRPr="00AE240C">
        <w:t xml:space="preserve">initiated the test by transmitting a live </w:t>
      </w:r>
      <w:r>
        <w:t>Emergency Action Notification (</w:t>
      </w:r>
      <w:r w:rsidRPr="00AE240C">
        <w:t>EAN</w:t>
      </w:r>
      <w:r>
        <w:t>), the EAS event code that the President would use in the event of a national emergency.  FEMA initiated the 2011 Nationwide EAS Test by transmitting a live EAN</w:t>
      </w:r>
      <w:r w:rsidRPr="00AE240C">
        <w:t xml:space="preserve"> event code over a secure telephone connection to the</w:t>
      </w:r>
      <w:r>
        <w:t xml:space="preserve"> Primary Entry Point (PEP) stations.  The PEPs </w:t>
      </w:r>
      <w:r w:rsidRPr="00AE240C">
        <w:t>then transmitted the EAN to the public over t</w:t>
      </w:r>
      <w:r w:rsidRPr="00841B45">
        <w:t>he broadcast-based “daisy chain.</w:t>
      </w:r>
      <w:r w:rsidRPr="00AE240C">
        <w:t>”</w:t>
      </w:r>
      <w:r>
        <w:t xml:space="preserve">  </w:t>
      </w:r>
      <w:r w:rsidRPr="00841B45">
        <w:rPr>
          <w:i/>
        </w:rPr>
        <w:t>See</w:t>
      </w:r>
      <w:r w:rsidRPr="00841B45">
        <w:t xml:space="preserve"> FCC, PSHSB, Strengthening the Emergency Alert System (EAS): Lessons Learned</w:t>
      </w:r>
      <w:r>
        <w:t xml:space="preserve"> from the Nationwide EAS Test at 5 (2013), </w:t>
      </w:r>
      <w:hyperlink r:id="rId11" w:history="1">
        <w:r w:rsidRPr="00F4159D">
          <w:rPr>
            <w:rStyle w:val="Hyperlink"/>
          </w:rPr>
          <w:t>http://www.fcc.gov/document/strengthening-emergency-alert-system</w:t>
        </w:r>
      </w:hyperlink>
      <w:r>
        <w:t xml:space="preserve"> (</w:t>
      </w:r>
      <w:r w:rsidRPr="00C00785">
        <w:rPr>
          <w:i/>
        </w:rPr>
        <w:t>2011 EAS Nationwide Test Report</w:t>
      </w:r>
      <w:r>
        <w:t>).</w:t>
      </w:r>
    </w:p>
  </w:footnote>
  <w:footnote w:id="42">
    <w:p w:rsidR="00B407C9" w:rsidP="00DB2ECD" w14:paraId="07C9D851" w14:textId="77777777">
      <w:pPr>
        <w:pStyle w:val="FootnoteText"/>
      </w:pPr>
      <w:r>
        <w:rPr>
          <w:rStyle w:val="FootnoteReference"/>
        </w:rPr>
        <w:footnoteRef/>
      </w:r>
      <w:r>
        <w:t xml:space="preserve"> Participants’ EAS equipment polls the IPAWS server to check for new alerts at regular intervals.  If an EAS Participant receives an over-the-air alert before it checks IPAWS, the over-the-air alert is retransmitted.</w:t>
      </w:r>
    </w:p>
  </w:footnote>
  <w:footnote w:id="43">
    <w:p w:rsidR="00B407C9" w14:paraId="657C4F46" w14:textId="77777777">
      <w:pPr>
        <w:pStyle w:val="FootnoteText"/>
      </w:pPr>
      <w:r>
        <w:rPr>
          <w:rStyle w:val="FootnoteReference"/>
        </w:rPr>
        <w:footnoteRef/>
      </w:r>
      <w:r>
        <w:t xml:space="preserve"> The EAS Protocol </w:t>
      </w:r>
      <w:r w:rsidRPr="00B81D55">
        <w:t>uses a four-part message for an emergency activation of the EAS.</w:t>
      </w:r>
      <w:r>
        <w:t xml:space="preserve"> </w:t>
      </w:r>
      <w:r w:rsidRPr="00B81D55">
        <w:t xml:space="preserve"> The four parts are: Preamble and EAS Header Codes; audio Attention Signal; message; and Preamble and EAS End </w:t>
      </w:r>
      <w:r w:rsidRPr="00B81D55">
        <w:t>Of</w:t>
      </w:r>
      <w:r w:rsidRPr="00B81D55">
        <w:t xml:space="preserve"> Message (EOM) Codes</w:t>
      </w:r>
      <w:r>
        <w:t xml:space="preserve">.  </w:t>
      </w:r>
      <w:r w:rsidRPr="00C00785">
        <w:rPr>
          <w:i/>
        </w:rPr>
        <w:t>See</w:t>
      </w:r>
      <w:r>
        <w:t xml:space="preserve"> 47 CFR § 11.31</w:t>
      </w:r>
      <w:r w:rsidRPr="00B81D55">
        <w:t>.</w:t>
      </w:r>
      <w:r>
        <w:t xml:space="preserve">  These parts can </w:t>
      </w:r>
      <w:r w:rsidRPr="00B81D55">
        <w:t xml:space="preserve">inform the public as to the nature, location, effective times, and originator of the alert, </w:t>
      </w:r>
      <w:r>
        <w:t xml:space="preserve">but are not capable of </w:t>
      </w:r>
      <w:r w:rsidRPr="00B81D55">
        <w:t>includ</w:t>
      </w:r>
      <w:r>
        <w:t xml:space="preserve">ing separate files for digital audio, text or for languages other than </w:t>
      </w:r>
      <w:r w:rsidRPr="00B81D55">
        <w:t>English</w:t>
      </w:r>
      <w:r>
        <w:t>.</w:t>
      </w:r>
    </w:p>
  </w:footnote>
  <w:footnote w:id="44">
    <w:p w:rsidR="00B407C9" w:rsidP="00DB2ECD" w14:paraId="6CFA24F1" w14:textId="3AE80A0C">
      <w:pPr>
        <w:pStyle w:val="FootnoteText"/>
      </w:pPr>
      <w:r w:rsidRPr="00C34623">
        <w:rPr>
          <w:rStyle w:val="FootnoteReference"/>
        </w:rPr>
        <w:footnoteRef/>
      </w:r>
      <w:r w:rsidRPr="00C34623">
        <w:t xml:space="preserve"> This total consists of the 17,</w:t>
      </w:r>
      <w:r>
        <w:t>6</w:t>
      </w:r>
      <w:r w:rsidRPr="00C34623">
        <w:t>80 radio broadcasters and 4,0</w:t>
      </w:r>
      <w:r>
        <w:t>5</w:t>
      </w:r>
      <w:r w:rsidRPr="00C34623">
        <w:t>6 television broadcasters in the FCC’s Consolidated Database System, the 4,</w:t>
      </w:r>
      <w:r>
        <w:t>087</w:t>
      </w:r>
      <w:r w:rsidRPr="00C34623">
        <w:t xml:space="preserve"> </w:t>
      </w:r>
      <w:r w:rsidRPr="00C34623">
        <w:t>headends</w:t>
      </w:r>
      <w:r w:rsidRPr="00C34623">
        <w:t xml:space="preserve"> active in the FCC’s Cable Operations and Licensing System, and the number of Direct Broadcast Satellite </w:t>
      </w:r>
      <w:r>
        <w:t xml:space="preserve">(DBS) </w:t>
      </w:r>
      <w:r w:rsidRPr="00C34623">
        <w:t>and S</w:t>
      </w:r>
      <w:r>
        <w:t>atellite Digital Audio Radio Service (S</w:t>
      </w:r>
      <w:r w:rsidRPr="00C34623">
        <w:t>DARS</w:t>
      </w:r>
      <w:r>
        <w:t>)</w:t>
      </w:r>
      <w:r w:rsidRPr="00C34623">
        <w:t xml:space="preserve"> facilities.  This </w:t>
      </w:r>
      <w:r>
        <w:t>methodology likely overestimates number of radio and television broadcasters that participate in the EAS, as some are exempted from the Commission rules that govern EAS.  For example, if a hub station satisfies the EAS requirements, an a</w:t>
      </w:r>
      <w:r w:rsidRPr="00AB54A0">
        <w:t xml:space="preserve">nalog </w:t>
      </w:r>
      <w:r>
        <w:t>or</w:t>
      </w:r>
      <w:r w:rsidRPr="00AB54A0">
        <w:t xml:space="preserve"> digital broadcast </w:t>
      </w:r>
      <w:r>
        <w:t xml:space="preserve">satellite </w:t>
      </w:r>
      <w:r w:rsidRPr="00AB54A0">
        <w:t>station that rebroadcast</w:t>
      </w:r>
      <w:r>
        <w:t>s 100%</w:t>
      </w:r>
      <w:r w:rsidRPr="00AB54A0">
        <w:t xml:space="preserve"> of </w:t>
      </w:r>
      <w:r>
        <w:t>the hub station’s</w:t>
      </w:r>
      <w:r w:rsidRPr="008B4C55">
        <w:t xml:space="preserve"> </w:t>
      </w:r>
      <w:r>
        <w:t>programming would not be required to file in ETRS</w:t>
      </w:r>
      <w:r w:rsidRPr="00AB54A0">
        <w:t>.</w:t>
      </w:r>
      <w:r>
        <w:t xml:space="preserve">  </w:t>
      </w:r>
      <w:r>
        <w:rPr>
          <w:i/>
        </w:rPr>
        <w:t>See id</w:t>
      </w:r>
      <w:r>
        <w:t>. at § 11.11(b).</w:t>
      </w:r>
    </w:p>
  </w:footnote>
  <w:footnote w:id="45">
    <w:p w:rsidR="00B407C9" w:rsidP="00DB2ECD" w14:paraId="53681CB3" w14:textId="77777777">
      <w:pPr>
        <w:pStyle w:val="FootnoteText"/>
      </w:pPr>
      <w:r>
        <w:rPr>
          <w:rStyle w:val="FootnoteReference"/>
        </w:rPr>
        <w:footnoteRef/>
      </w:r>
      <w:r>
        <w:t xml:space="preserve"> Wireline video systems are the </w:t>
      </w:r>
      <w:r w:rsidRPr="00DC6D0D">
        <w:t>system</w:t>
      </w:r>
      <w:r>
        <w:t>s</w:t>
      </w:r>
      <w:r w:rsidRPr="00DC6D0D">
        <w:t xml:space="preserve"> of a wireline common carrier used to provide video programming service</w:t>
      </w:r>
      <w:r>
        <w:t xml:space="preserve">.  </w:t>
      </w:r>
      <w:r>
        <w:rPr>
          <w:i/>
        </w:rPr>
        <w:t>Id</w:t>
      </w:r>
      <w:r>
        <w:t>. at § 11.2(e).</w:t>
      </w:r>
    </w:p>
  </w:footnote>
  <w:footnote w:id="46">
    <w:p w:rsidR="00B407C9" w:rsidP="00DB2ECD" w14:paraId="5C21CF46" w14:textId="77777777">
      <w:pPr>
        <w:pStyle w:val="FootnoteText"/>
      </w:pPr>
      <w:r>
        <w:rPr>
          <w:rStyle w:val="FootnoteReference"/>
        </w:rPr>
        <w:footnoteRef/>
      </w:r>
      <w:r>
        <w:t xml:space="preserve"> </w:t>
      </w:r>
      <w:r>
        <w:rPr>
          <w:i/>
        </w:rPr>
        <w:t>Id</w:t>
      </w:r>
      <w:r>
        <w:t>. at § 11.11(a).</w:t>
      </w:r>
    </w:p>
  </w:footnote>
  <w:footnote w:id="47">
    <w:p w:rsidR="00B407C9" w:rsidP="002E048C" w14:paraId="18199EE0" w14:textId="77777777">
      <w:pPr>
        <w:pStyle w:val="FootnoteText"/>
      </w:pPr>
      <w:r w:rsidRPr="00BD7A95">
        <w:rPr>
          <w:rStyle w:val="FootnoteReference"/>
          <w:sz w:val="20"/>
        </w:rPr>
        <w:footnoteRef/>
      </w:r>
      <w:r w:rsidRPr="008D169D">
        <w:t xml:space="preserve"> </w:t>
      </w:r>
      <w:r>
        <w:t>A</w:t>
      </w:r>
      <w:r w:rsidRPr="008D169D">
        <w:t xml:space="preserve"> small number of EAS Participants provided their EAS Participant </w:t>
      </w:r>
      <w:r>
        <w:t>t</w:t>
      </w:r>
      <w:r w:rsidRPr="008D169D">
        <w:t xml:space="preserve">ype incorrectly.  </w:t>
      </w:r>
      <w:r w:rsidRPr="000E1F2F">
        <w:t>Those errors have been corrected for purposes of this report.</w:t>
      </w:r>
      <w:r>
        <w:t xml:space="preserve">  </w:t>
      </w:r>
    </w:p>
  </w:footnote>
  <w:footnote w:id="48">
    <w:p w:rsidR="00B407C9" w14:paraId="008BFEB6" w14:textId="2F80E75A">
      <w:pPr>
        <w:pStyle w:val="FootnoteText"/>
      </w:pPr>
      <w:r>
        <w:rPr>
          <w:rStyle w:val="FootnoteReference"/>
        </w:rPr>
        <w:footnoteRef/>
      </w:r>
      <w:r>
        <w:t xml:space="preserve"> </w:t>
      </w:r>
      <w:r w:rsidRPr="00D0321B">
        <w:t>EAS Participants submitted</w:t>
      </w:r>
      <w:r w:rsidRPr="209B057E">
        <w:t xml:space="preserve"> </w:t>
      </w:r>
      <w:r w:rsidRPr="00DD7DCA">
        <w:t>22</w:t>
      </w:r>
      <w:r>
        <w:t>,</w:t>
      </w:r>
      <w:r w:rsidRPr="00DD7DCA">
        <w:t>81</w:t>
      </w:r>
      <w:r>
        <w:t>0</w:t>
      </w:r>
      <w:r w:rsidRPr="00DD7DCA">
        <w:t xml:space="preserve"> </w:t>
      </w:r>
      <w:r w:rsidRPr="209B057E">
        <w:t>filings in 201</w:t>
      </w:r>
      <w:r>
        <w:t>8</w:t>
      </w:r>
      <w:r w:rsidRPr="209B057E">
        <w:t>.</w:t>
      </w:r>
      <w:r>
        <w:t xml:space="preserve">  </w:t>
      </w:r>
      <w:r w:rsidRPr="209B057E">
        <w:t xml:space="preserve">More than </w:t>
      </w:r>
      <w:r>
        <w:t>3</w:t>
      </w:r>
      <w:r w:rsidRPr="209B057E">
        <w:t>,000 of these filings duplicated facilities for which EAS Participants had already filed</w:t>
      </w:r>
      <w:r>
        <w:t>.  The total number of filings include the cumulative tabulation for all forms received from a filer.  For example, if a filer submitted Forms One, Two and Three through ETRS, this would be recorded as one filing, rather than three separate filings.</w:t>
      </w:r>
    </w:p>
  </w:footnote>
  <w:footnote w:id="49">
    <w:p w:rsidR="00B407C9" w:rsidP="000E03F2" w14:paraId="15B74E82" w14:textId="77777777">
      <w:pPr>
        <w:pStyle w:val="FootnoteText"/>
      </w:pPr>
      <w:r>
        <w:rPr>
          <w:rStyle w:val="FootnoteReference"/>
        </w:rPr>
        <w:footnoteRef/>
      </w:r>
      <w:r>
        <w:t xml:space="preserve"> Unique filings are non-duplicate filings, defined as a set of filings that represent the report of a single EAS Participant facility, such as a radio station or a cable headend.  Most duplicate filings were submitted for cable systems.  To the extent that EAS Participants’ filings indicate that a headend serves alerts using multiple, independent sets of EAS equipment, each set of equipment is considered as a unique headend in this report.  The numbers cited in this report are slightly higher than those reported in the December 2018 Initial Public Notice to account for additional analysis</w:t>
      </w:r>
      <w:r>
        <w:rPr>
          <w:i/>
        </w:rPr>
        <w:t xml:space="preserve">.  See </w:t>
      </w:r>
      <w:r w:rsidRPr="00B20277">
        <w:rPr>
          <w:i/>
        </w:rPr>
        <w:t>Public Safety and Homeland Security Bureau Releases Its Initial Findings Regarding the 201</w:t>
      </w:r>
      <w:r>
        <w:rPr>
          <w:i/>
        </w:rPr>
        <w:t>8</w:t>
      </w:r>
      <w:r w:rsidRPr="00B20277">
        <w:rPr>
          <w:i/>
        </w:rPr>
        <w:t xml:space="preserve"> Nationwide EAS Test</w:t>
      </w:r>
      <w:r>
        <w:t xml:space="preserve">, Public Notice, 32 FCC </w:t>
      </w:r>
      <w:r>
        <w:t>Rcd</w:t>
      </w:r>
      <w:r>
        <w:t xml:space="preserve"> 10272 (PSHSB 2018).</w:t>
      </w:r>
    </w:p>
  </w:footnote>
  <w:footnote w:id="50">
    <w:p w:rsidR="00B407C9" w:rsidP="002E048C" w14:paraId="344B8228" w14:textId="77777777">
      <w:pPr>
        <w:pStyle w:val="FootnoteText"/>
      </w:pPr>
      <w:r>
        <w:rPr>
          <w:rStyle w:val="FootnoteReference"/>
        </w:rPr>
        <w:footnoteRef/>
      </w:r>
      <w:r>
        <w:t xml:space="preserve"> For purposes of this report, participation rate is defined as the number of unique filings received from a specified EAS Participant type divided by the total number of EAS Participants of that type.</w:t>
      </w:r>
    </w:p>
  </w:footnote>
  <w:footnote w:id="51">
    <w:p w:rsidR="00B407C9" w:rsidRPr="006829A2" w14:paraId="4FCD0EF6" w14:textId="77777777">
      <w:pPr>
        <w:pStyle w:val="FootnoteText"/>
      </w:pPr>
      <w:r>
        <w:rPr>
          <w:rStyle w:val="FootnoteReference"/>
        </w:rPr>
        <w:footnoteRef/>
      </w:r>
      <w:r>
        <w:t xml:space="preserve"> </w:t>
      </w:r>
      <w:r>
        <w:rPr>
          <w:i/>
        </w:rPr>
        <w:t xml:space="preserve">2017 Nationwide EAS Test Report </w:t>
      </w:r>
      <w:r>
        <w:t>at 6.</w:t>
      </w:r>
    </w:p>
  </w:footnote>
  <w:footnote w:id="52">
    <w:p w:rsidR="00B407C9" w14:paraId="5AC54A7A" w14:textId="3DF13365">
      <w:pPr>
        <w:pStyle w:val="FootnoteText"/>
      </w:pPr>
      <w:r>
        <w:rPr>
          <w:rStyle w:val="FootnoteReference"/>
        </w:rPr>
        <w:footnoteRef/>
      </w:r>
      <w:r>
        <w:t xml:space="preserve"> The Commission has determined that test result data submitted by EAS Participants be treated as presumptively confidential.  </w:t>
      </w:r>
      <w:r>
        <w:rPr>
          <w:i/>
        </w:rPr>
        <w:t xml:space="preserve">See Review of the Emergency Alert </w:t>
      </w:r>
      <w:r w:rsidRPr="00467B22">
        <w:t>System</w:t>
      </w:r>
      <w:r>
        <w:t xml:space="preserve">, EB Docket No. 04-296, Sixth Report and Order, 30 FCC </w:t>
      </w:r>
      <w:r>
        <w:t>Rcd</w:t>
      </w:r>
      <w:r>
        <w:t xml:space="preserve"> </w:t>
      </w:r>
      <w:r w:rsidRPr="00467B22">
        <w:t>6520</w:t>
      </w:r>
      <w:r>
        <w:t>, 6533, para. 27, note 90 (2015) (noting that test data received from EAS Participants or any reports that contain individual test data shall be treated as presumptively confidential).  Accordingly, Table 1 and others in this report reflect aggregated test result data to the extent doing so does not result in disclosure of confidential information.  As referenced throughout this report</w:t>
      </w:r>
      <w:r w:rsidRPr="00777FE8">
        <w:t>,</w:t>
      </w:r>
      <w:r>
        <w:t xml:space="preserve"> PSHSB does not provide data for very small groups of EAS Participants and does not include them among the total number of filings.  The omission of this data does not change the assessment of the test in any significant way.</w:t>
      </w:r>
    </w:p>
  </w:footnote>
  <w:footnote w:id="53">
    <w:p w:rsidR="00B407C9" w:rsidP="002E048C" w14:paraId="56BEFED0" w14:textId="77777777">
      <w:pPr>
        <w:pStyle w:val="FootnoteText"/>
      </w:pPr>
      <w:r>
        <w:rPr>
          <w:rStyle w:val="FootnoteReference"/>
        </w:rPr>
        <w:footnoteRef/>
      </w:r>
      <w:r>
        <w:t xml:space="preserve"> “Other”</w:t>
      </w:r>
      <w:r w:rsidRPr="007F7C8A">
        <w:t xml:space="preserve"> </w:t>
      </w:r>
      <w:r>
        <w:t xml:space="preserve">includes </w:t>
      </w:r>
      <w:r w:rsidRPr="002C1E71">
        <w:t>“non-cable multichannel video programming di</w:t>
      </w:r>
      <w:r w:rsidRPr="00207117">
        <w:t xml:space="preserve">stributors” </w:t>
      </w:r>
      <w:r w:rsidRPr="002C1E71">
        <w:t>and other entities reported in the ETRS but not defined as EAS Participants in the EAS rules.</w:t>
      </w:r>
    </w:p>
  </w:footnote>
  <w:footnote w:id="54">
    <w:p w:rsidR="00B407C9" w14:paraId="7842482D" w14:textId="77777777">
      <w:pPr>
        <w:pStyle w:val="FootnoteText"/>
      </w:pPr>
      <w:r>
        <w:rPr>
          <w:rStyle w:val="FootnoteReference"/>
        </w:rPr>
        <w:footnoteRef/>
      </w:r>
      <w:r>
        <w:t xml:space="preserve"> 47 CFR § 11.61(a)(3)(iv).</w:t>
      </w:r>
    </w:p>
  </w:footnote>
  <w:footnote w:id="55">
    <w:p w:rsidR="00B407C9" w:rsidRPr="00365CB2" w14:paraId="72920285" w14:textId="441983B3">
      <w:pPr>
        <w:pStyle w:val="FootnoteText"/>
      </w:pPr>
      <w:r>
        <w:rPr>
          <w:rStyle w:val="FootnoteReference"/>
        </w:rPr>
        <w:footnoteRef/>
      </w:r>
      <w:r>
        <w:t xml:space="preserve"> Tables</w:t>
      </w:r>
      <w:r w:rsidRPr="00E00F16">
        <w:t xml:space="preserve"> </w:t>
      </w:r>
      <w:r>
        <w:t xml:space="preserve">3 through </w:t>
      </w:r>
      <w:r w:rsidRPr="00A97D96">
        <w:t>1</w:t>
      </w:r>
      <w:r w:rsidR="00703FE6">
        <w:t>2</w:t>
      </w:r>
      <w:r>
        <w:t xml:space="preserve"> exclude EAS Participants that report to be silent pursuant to a special temporary authorization granted by the Commission.  </w:t>
      </w:r>
      <w:r>
        <w:rPr>
          <w:i/>
        </w:rPr>
        <w:t xml:space="preserve">See also, </w:t>
      </w:r>
      <w:r>
        <w:t xml:space="preserve">Table 7, </w:t>
      </w:r>
      <w:r>
        <w:rPr>
          <w:i/>
        </w:rPr>
        <w:t>infra</w:t>
      </w:r>
      <w:r>
        <w:t xml:space="preserve">, </w:t>
      </w:r>
      <w:r w:rsidRPr="00A97D96">
        <w:t>at 16</w:t>
      </w:r>
      <w:r>
        <w:t xml:space="preserve"> (describing the test results of Low Power participants).</w:t>
      </w:r>
    </w:p>
  </w:footnote>
  <w:footnote w:id="56">
    <w:p w:rsidR="00B407C9" w14:paraId="667793C3" w14:textId="77777777">
      <w:pPr>
        <w:pStyle w:val="FootnoteText"/>
      </w:pPr>
      <w:r>
        <w:rPr>
          <w:rStyle w:val="FootnoteReference"/>
        </w:rPr>
        <w:footnoteRef/>
      </w:r>
      <w:r>
        <w:t xml:space="preserve"> </w:t>
      </w:r>
      <w:r>
        <w:rPr>
          <w:i/>
        </w:rPr>
        <w:t xml:space="preserve">2017 Nationwide EAS Test Report </w:t>
      </w:r>
      <w:r>
        <w:t>at 7.</w:t>
      </w:r>
    </w:p>
  </w:footnote>
  <w:footnote w:id="57">
    <w:p w:rsidR="00B407C9" w:rsidRPr="00030DE6" w14:paraId="146C8BF7" w14:textId="496DCB3B">
      <w:pPr>
        <w:pStyle w:val="FootnoteText"/>
      </w:pPr>
      <w:r>
        <w:rPr>
          <w:rStyle w:val="FootnoteReference"/>
        </w:rPr>
        <w:footnoteRef/>
      </w:r>
      <w:r>
        <w:t xml:space="preserve"> Unique Filings Received.  </w:t>
      </w:r>
      <w:r>
        <w:rPr>
          <w:i/>
        </w:rPr>
        <w:t xml:space="preserve">See </w:t>
      </w:r>
      <w:r w:rsidRPr="000253D4">
        <w:t>note 47,</w:t>
      </w:r>
      <w:r>
        <w:t xml:space="preserve"> </w:t>
      </w:r>
      <w:r>
        <w:rPr>
          <w:i/>
        </w:rPr>
        <w:t>supra</w:t>
      </w:r>
      <w:r>
        <w:t>.</w:t>
      </w:r>
    </w:p>
  </w:footnote>
  <w:footnote w:id="58">
    <w:p w:rsidR="00B407C9" w:rsidP="00DB2ECD" w14:paraId="23423A54" w14:textId="77777777">
      <w:pPr>
        <w:pStyle w:val="FootnoteText"/>
      </w:pPr>
      <w:r>
        <w:rPr>
          <w:rStyle w:val="FootnoteReference"/>
        </w:rPr>
        <w:footnoteRef/>
      </w:r>
      <w:r>
        <w:t xml:space="preserve"> For this report, a “test participant” is a unique EAS Participant that completed, at a minimum, ETRS Forms One and Two.  Unless otherwise specified, the analyses hereafter only consider filings made by test participants.</w:t>
      </w:r>
    </w:p>
  </w:footnote>
  <w:footnote w:id="59">
    <w:p w:rsidR="00B407C9" w:rsidP="00080CF2" w14:paraId="3EC479D0" w14:textId="77777777">
      <w:pPr>
        <w:pStyle w:val="FootnoteText"/>
      </w:pPr>
      <w:r>
        <w:rPr>
          <w:rStyle w:val="FootnoteReference"/>
        </w:rPr>
        <w:footnoteRef/>
      </w:r>
      <w:r>
        <w:t xml:space="preserve"> 47 CFR § 11.18(a).</w:t>
      </w:r>
    </w:p>
  </w:footnote>
  <w:footnote w:id="60">
    <w:p w:rsidR="00B407C9" w:rsidP="00DB2ECD" w14:paraId="1281FD7A" w14:textId="77777777">
      <w:pPr>
        <w:pStyle w:val="FootnoteText"/>
      </w:pPr>
      <w:r>
        <w:rPr>
          <w:rStyle w:val="FootnoteReference"/>
        </w:rPr>
        <w:footnoteRef/>
      </w:r>
      <w:r>
        <w:t xml:space="preserve"> </w:t>
      </w:r>
      <w:r w:rsidRPr="00DD7774">
        <w:rPr>
          <w:i/>
        </w:rPr>
        <w:t>See</w:t>
      </w:r>
      <w:r w:rsidRPr="00DD7774">
        <w:t xml:space="preserve"> </w:t>
      </w:r>
      <w:r w:rsidRPr="009D0274">
        <w:rPr>
          <w:i/>
        </w:rPr>
        <w:t>201</w:t>
      </w:r>
      <w:r>
        <w:rPr>
          <w:i/>
        </w:rPr>
        <w:t>7</w:t>
      </w:r>
      <w:r w:rsidRPr="009D0274">
        <w:t xml:space="preserve"> </w:t>
      </w:r>
      <w:r w:rsidRPr="009D0274">
        <w:rPr>
          <w:i/>
        </w:rPr>
        <w:t xml:space="preserve">Nationwide </w:t>
      </w:r>
      <w:r>
        <w:rPr>
          <w:i/>
        </w:rPr>
        <w:t xml:space="preserve">EAS </w:t>
      </w:r>
      <w:r w:rsidRPr="009D0274">
        <w:rPr>
          <w:i/>
        </w:rPr>
        <w:t>Test Report</w:t>
      </w:r>
      <w:r w:rsidRPr="00E76C7F">
        <w:t xml:space="preserve"> at </w:t>
      </w:r>
      <w:r>
        <w:t>8</w:t>
      </w:r>
      <w:r w:rsidRPr="009D0274">
        <w:t>.</w:t>
      </w:r>
    </w:p>
  </w:footnote>
  <w:footnote w:id="61">
    <w:p w:rsidR="00B407C9" w14:paraId="1FE5EDCA" w14:textId="77777777">
      <w:pPr>
        <w:pStyle w:val="FootnoteText"/>
      </w:pPr>
      <w:r>
        <w:rPr>
          <w:rStyle w:val="FootnoteReference"/>
        </w:rPr>
        <w:footnoteRef/>
      </w:r>
      <w:r>
        <w:t xml:space="preserve"> </w:t>
      </w:r>
      <w:r w:rsidRPr="00DD7774">
        <w:rPr>
          <w:i/>
        </w:rPr>
        <w:t>See</w:t>
      </w:r>
      <w:r w:rsidRPr="00DD7774">
        <w:t xml:space="preserve"> </w:t>
      </w:r>
      <w:r w:rsidRPr="009D0274">
        <w:rPr>
          <w:i/>
        </w:rPr>
        <w:t>2016</w:t>
      </w:r>
      <w:r w:rsidRPr="009D0274">
        <w:t xml:space="preserve"> </w:t>
      </w:r>
      <w:r w:rsidRPr="009D0274">
        <w:rPr>
          <w:i/>
        </w:rPr>
        <w:t xml:space="preserve">Nationwide </w:t>
      </w:r>
      <w:r>
        <w:rPr>
          <w:i/>
        </w:rPr>
        <w:t xml:space="preserve">EAS </w:t>
      </w:r>
      <w:r w:rsidRPr="009D0274">
        <w:rPr>
          <w:i/>
        </w:rPr>
        <w:t>Test Report</w:t>
      </w:r>
      <w:r w:rsidRPr="00E76C7F">
        <w:t xml:space="preserve"> at 9</w:t>
      </w:r>
      <w:r w:rsidRPr="009D0274">
        <w:t>.</w:t>
      </w:r>
    </w:p>
  </w:footnote>
  <w:footnote w:id="62">
    <w:p w:rsidR="00B407C9" w:rsidRPr="00AE0A16" w:rsidP="00DB2ECD" w14:paraId="52E02843" w14:textId="055235B3">
      <w:pPr>
        <w:pStyle w:val="FootnoteText"/>
      </w:pPr>
      <w:r>
        <w:rPr>
          <w:rStyle w:val="FootnoteReference"/>
        </w:rPr>
        <w:footnoteRef/>
      </w:r>
      <w:r>
        <w:t xml:space="preserve"> </w:t>
      </w:r>
      <w:r w:rsidRPr="00DD7774">
        <w:rPr>
          <w:i/>
        </w:rPr>
        <w:t>See</w:t>
      </w:r>
      <w:r w:rsidRPr="00DD7774">
        <w:t xml:space="preserve"> </w:t>
      </w:r>
      <w:r>
        <w:rPr>
          <w:i/>
        </w:rPr>
        <w:t xml:space="preserve">2017 Nationwide EAS Test Report </w:t>
      </w:r>
      <w:r>
        <w:t>at 8</w:t>
      </w:r>
      <w:r>
        <w:rPr>
          <w:i/>
        </w:rPr>
        <w:t xml:space="preserve">.  </w:t>
      </w:r>
      <w:r>
        <w:t xml:space="preserve">In 2011, PSHSB estimated that there were 94 state primary stations.  </w:t>
      </w:r>
      <w:r w:rsidRPr="007A7D75">
        <w:rPr>
          <w:i/>
        </w:rPr>
        <w:t>2011 EAS Nationwide Test Report</w:t>
      </w:r>
      <w:r>
        <w:t xml:space="preserve"> at 8.</w:t>
      </w:r>
    </w:p>
  </w:footnote>
  <w:footnote w:id="63">
    <w:p w:rsidR="00B407C9" w14:paraId="7C756FEC" w14:textId="77777777">
      <w:pPr>
        <w:pStyle w:val="FootnoteText"/>
      </w:pPr>
      <w:r>
        <w:rPr>
          <w:rStyle w:val="FootnoteReference"/>
        </w:rPr>
        <w:footnoteRef/>
      </w:r>
      <w:r>
        <w:t xml:space="preserve"> Data reflects EAS designations as self-reported in Form One.</w:t>
      </w:r>
    </w:p>
  </w:footnote>
  <w:footnote w:id="64">
    <w:p w:rsidR="00B407C9" w:rsidP="004E3D74" w14:paraId="6C39F8EA" w14:textId="77777777">
      <w:pPr>
        <w:pStyle w:val="FootnoteText"/>
      </w:pPr>
      <w:r>
        <w:rPr>
          <w:rStyle w:val="FootnoteReference"/>
        </w:rPr>
        <w:footnoteRef/>
      </w:r>
      <w:r>
        <w:t xml:space="preserve"> 47 CFR § 11.52(d)(2).</w:t>
      </w:r>
    </w:p>
  </w:footnote>
  <w:footnote w:id="65">
    <w:p w:rsidR="00B407C9" w:rsidRPr="009875DB" w:rsidP="004E3D74" w14:paraId="070F2205" w14:textId="77777777">
      <w:pPr>
        <w:pStyle w:val="FootnoteText"/>
        <w:rPr>
          <w:u w:val="single"/>
        </w:rPr>
      </w:pPr>
      <w:r>
        <w:rPr>
          <w:rStyle w:val="FootnoteReference"/>
        </w:rPr>
        <w:footnoteRef/>
      </w:r>
      <w:r>
        <w:t xml:space="preserve"> </w:t>
      </w:r>
      <w:r w:rsidRPr="00C24F01">
        <w:rPr>
          <w:i/>
        </w:rPr>
        <w:t>201</w:t>
      </w:r>
      <w:r>
        <w:rPr>
          <w:i/>
        </w:rPr>
        <w:t>7</w:t>
      </w:r>
      <w:r w:rsidRPr="00C24F01">
        <w:t xml:space="preserve"> </w:t>
      </w:r>
      <w:r w:rsidRPr="00C24F01">
        <w:rPr>
          <w:i/>
        </w:rPr>
        <w:t xml:space="preserve">Nationwide </w:t>
      </w:r>
      <w:r w:rsidRPr="00DD7774">
        <w:rPr>
          <w:i/>
        </w:rPr>
        <w:t xml:space="preserve">EAS </w:t>
      </w:r>
      <w:r w:rsidRPr="00C24F01">
        <w:rPr>
          <w:i/>
        </w:rPr>
        <w:t>Test Report</w:t>
      </w:r>
      <w:r w:rsidRPr="00C24F01">
        <w:t xml:space="preserve"> at </w:t>
      </w:r>
      <w:r>
        <w:t>9</w:t>
      </w:r>
      <w:r w:rsidRPr="00C24F01">
        <w:t xml:space="preserve">.  </w:t>
      </w:r>
      <w:r>
        <w:t>Possible explanations for test participants reporting that they do not monitor IPAWS include a lack of broadband access, lack of familiarity with EAS equipment</w:t>
      </w:r>
      <w:r w:rsidRPr="00352F5E">
        <w:t xml:space="preserve"> </w:t>
      </w:r>
      <w:r>
        <w:t xml:space="preserve">functions, and noncompliance with the Commission’s rules.  </w:t>
      </w:r>
    </w:p>
  </w:footnote>
  <w:footnote w:id="66">
    <w:p w:rsidR="00B407C9" w:rsidP="004E3D74" w14:paraId="050DF0A5" w14:textId="77777777">
      <w:pPr>
        <w:pStyle w:val="FootnoteText"/>
      </w:pPr>
      <w:r>
        <w:rPr>
          <w:rStyle w:val="FootnoteReference"/>
        </w:rPr>
        <w:footnoteRef/>
      </w:r>
      <w:r>
        <w:t xml:space="preserve"> </w:t>
      </w:r>
      <w:r>
        <w:rPr>
          <w:i/>
        </w:rPr>
        <w:t xml:space="preserve">2017 </w:t>
      </w:r>
      <w:r w:rsidRPr="002427D3">
        <w:rPr>
          <w:i/>
        </w:rPr>
        <w:t xml:space="preserve">Nationwide </w:t>
      </w:r>
      <w:r w:rsidRPr="00DD7774">
        <w:rPr>
          <w:i/>
        </w:rPr>
        <w:t xml:space="preserve">EAS </w:t>
      </w:r>
      <w:r w:rsidRPr="002427D3">
        <w:rPr>
          <w:i/>
        </w:rPr>
        <w:t>Test Report</w:t>
      </w:r>
      <w:r>
        <w:t xml:space="preserve"> at 10.</w:t>
      </w:r>
    </w:p>
  </w:footnote>
  <w:footnote w:id="67">
    <w:p w:rsidR="00B407C9" w:rsidRPr="0081225E" w14:paraId="02D59015" w14:textId="14B16976">
      <w:pPr>
        <w:pStyle w:val="FootnoteText"/>
      </w:pPr>
      <w:r>
        <w:rPr>
          <w:rStyle w:val="FootnoteReference"/>
        </w:rPr>
        <w:footnoteRef/>
      </w:r>
      <w:r>
        <w:t xml:space="preserve"> “Other”</w:t>
      </w:r>
      <w:r w:rsidRPr="007F7C8A">
        <w:t xml:space="preserve"> </w:t>
      </w:r>
      <w:r>
        <w:t xml:space="preserve">includes </w:t>
      </w:r>
      <w:r w:rsidRPr="002C1E71">
        <w:t>“non-cable multichannel video programming di</w:t>
      </w:r>
      <w:r w:rsidRPr="00207117">
        <w:t xml:space="preserve">stributors” </w:t>
      </w:r>
      <w:r w:rsidRPr="002C1E71">
        <w:t>and other entities reported in the ETRS but not defined as EAS Participants in the EAS rules.</w:t>
      </w:r>
      <w:r>
        <w:t xml:space="preserve">  </w:t>
      </w:r>
      <w:r>
        <w:rPr>
          <w:i/>
        </w:rPr>
        <w:t>See</w:t>
      </w:r>
      <w:r>
        <w:t xml:space="preserve"> note </w:t>
      </w:r>
      <w:r w:rsidRPr="000253D4">
        <w:t>51,</w:t>
      </w:r>
      <w:r>
        <w:t xml:space="preserve"> </w:t>
      </w:r>
      <w:r>
        <w:rPr>
          <w:i/>
        </w:rPr>
        <w:t>supra</w:t>
      </w:r>
      <w:r>
        <w:t>.</w:t>
      </w:r>
    </w:p>
  </w:footnote>
  <w:footnote w:id="68">
    <w:p w:rsidR="00B407C9" w:rsidRPr="00766CA6" w14:paraId="56053A90" w14:textId="77777777">
      <w:pPr>
        <w:pStyle w:val="FootnoteText"/>
      </w:pPr>
      <w:r>
        <w:rPr>
          <w:rStyle w:val="FootnoteReference"/>
        </w:rPr>
        <w:footnoteRef/>
      </w:r>
      <w:r>
        <w:t xml:space="preserve"> </w:t>
      </w:r>
      <w:r>
        <w:rPr>
          <w:i/>
        </w:rPr>
        <w:t xml:space="preserve">2017 </w:t>
      </w:r>
      <w:r w:rsidRPr="002427D3">
        <w:rPr>
          <w:i/>
        </w:rPr>
        <w:t xml:space="preserve">Nationwide </w:t>
      </w:r>
      <w:r w:rsidRPr="00DD7774">
        <w:rPr>
          <w:i/>
        </w:rPr>
        <w:t xml:space="preserve">EAS </w:t>
      </w:r>
      <w:r w:rsidRPr="002427D3">
        <w:rPr>
          <w:i/>
        </w:rPr>
        <w:t>Test Report</w:t>
      </w:r>
      <w:r>
        <w:t xml:space="preserve"> at 10.</w:t>
      </w:r>
    </w:p>
  </w:footnote>
  <w:footnote w:id="69">
    <w:p w:rsidR="00B407C9" w:rsidRPr="00405A6E" w:rsidP="004E3D74" w14:paraId="21A4845A" w14:textId="77777777">
      <w:pPr>
        <w:pStyle w:val="FootnoteText"/>
      </w:pPr>
      <w:r>
        <w:rPr>
          <w:rStyle w:val="FootnoteReference"/>
        </w:rPr>
        <w:footnoteRef/>
      </w:r>
      <w:r>
        <w:t xml:space="preserve"> </w:t>
      </w:r>
      <w:r>
        <w:rPr>
          <w:i/>
        </w:rPr>
        <w:t>Id.</w:t>
      </w:r>
    </w:p>
  </w:footnote>
  <w:footnote w:id="70">
    <w:p w:rsidR="00B407C9" w:rsidP="00422B87" w14:paraId="358C98AC" w14:textId="3E6D2FB3">
      <w:pPr>
        <w:pStyle w:val="FootnoteText"/>
      </w:pPr>
      <w:r>
        <w:rPr>
          <w:rStyle w:val="FootnoteReference"/>
        </w:rPr>
        <w:footnoteRef/>
      </w:r>
      <w:r>
        <w:t xml:space="preserve"> </w:t>
      </w:r>
      <w:r w:rsidRPr="00703FE6" w:rsidR="00703FE6">
        <w:rPr>
          <w:i/>
        </w:rPr>
        <w:t>Id</w:t>
      </w:r>
      <w:r w:rsidR="00703FE6">
        <w:t>.</w:t>
      </w:r>
      <w:r>
        <w:rPr>
          <w:i/>
        </w:rPr>
        <w:t xml:space="preserve"> </w:t>
      </w:r>
      <w:r>
        <w:t>at 10-11.</w:t>
      </w:r>
    </w:p>
  </w:footnote>
  <w:footnote w:id="71">
    <w:p w:rsidR="00B407C9" w:rsidP="004E3D74" w14:paraId="6DC9BC26" w14:textId="0B313481">
      <w:pPr>
        <w:pStyle w:val="FootnoteText"/>
      </w:pPr>
      <w:r>
        <w:rPr>
          <w:rStyle w:val="FootnoteReference"/>
        </w:rPr>
        <w:footnoteRef/>
      </w:r>
      <w:r>
        <w:t xml:space="preserve"> </w:t>
      </w:r>
      <w:r>
        <w:rPr>
          <w:i/>
        </w:rPr>
        <w:t>Id.</w:t>
      </w:r>
    </w:p>
  </w:footnote>
  <w:footnote w:id="72">
    <w:p w:rsidR="00B407C9" w14:paraId="6F43EA73" w14:textId="05BB32FF">
      <w:pPr>
        <w:pStyle w:val="FootnoteText"/>
      </w:pPr>
      <w:r>
        <w:rPr>
          <w:rStyle w:val="FootnoteReference"/>
        </w:rPr>
        <w:footnoteRef/>
      </w:r>
      <w:r>
        <w:t xml:space="preserve"> </w:t>
      </w:r>
      <w:r>
        <w:rPr>
          <w:i/>
        </w:rPr>
        <w:t>Id.</w:t>
      </w:r>
    </w:p>
  </w:footnote>
  <w:footnote w:id="73">
    <w:p w:rsidR="00B407C9" w:rsidRPr="00CB2E02" w14:paraId="1B86264E" w14:textId="77777777">
      <w:pPr>
        <w:pStyle w:val="FootnoteText"/>
      </w:pPr>
      <w:r>
        <w:rPr>
          <w:rStyle w:val="FootnoteReference"/>
        </w:rPr>
        <w:footnoteRef/>
      </w:r>
      <w:r>
        <w:t xml:space="preserve"> </w:t>
      </w:r>
      <w:r>
        <w:rPr>
          <w:i/>
        </w:rPr>
        <w:t>See 2016 Nationwide EAS Test Report</w:t>
      </w:r>
      <w:r>
        <w:t xml:space="preserve"> at 11-12 (56.5% of test participants reporting as first receiving the alert over-the-air); </w:t>
      </w:r>
      <w:r>
        <w:rPr>
          <w:i/>
        </w:rPr>
        <w:t xml:space="preserve">2017 Nationwide EAS Test Report </w:t>
      </w:r>
      <w:r>
        <w:t xml:space="preserve">at 11 (58.1% of test participants reporting as first receiving the alert over-the-air). </w:t>
      </w:r>
    </w:p>
  </w:footnote>
  <w:footnote w:id="74">
    <w:p w:rsidR="00B407C9" w:rsidRPr="00A532A6" w14:paraId="0E19FF17" w14:textId="77777777">
      <w:pPr>
        <w:pStyle w:val="FootnoteText"/>
      </w:pPr>
      <w:r>
        <w:rPr>
          <w:rStyle w:val="FootnoteReference"/>
        </w:rPr>
        <w:footnoteRef/>
      </w:r>
      <w:r>
        <w:t xml:space="preserve"> </w:t>
      </w:r>
      <w:r>
        <w:rPr>
          <w:i/>
        </w:rPr>
        <w:t xml:space="preserve">2017 Nationwide EAS Test Report </w:t>
      </w:r>
      <w:r>
        <w:t>at 12.</w:t>
      </w:r>
    </w:p>
  </w:footnote>
  <w:footnote w:id="75">
    <w:p w:rsidR="00B407C9" w:rsidRPr="00557828" w:rsidP="00405018" w14:paraId="165BC2E1" w14:textId="77777777">
      <w:pPr>
        <w:pStyle w:val="FootnoteText"/>
      </w:pPr>
      <w:r w:rsidRPr="00557828">
        <w:rPr>
          <w:rStyle w:val="FootnoteReference"/>
        </w:rPr>
        <w:footnoteRef/>
      </w:r>
      <w:r w:rsidRPr="00557828">
        <w:t xml:space="preserve"> </w:t>
      </w:r>
      <w:r w:rsidRPr="00557828">
        <w:rPr>
          <w:i/>
        </w:rPr>
        <w:t>See, e.g.</w:t>
      </w:r>
      <w:r w:rsidRPr="00557828">
        <w:t xml:space="preserve">, Q13 News Staff, </w:t>
      </w:r>
      <w:r w:rsidRPr="00557828">
        <w:rPr>
          <w:i/>
        </w:rPr>
        <w:t>AT&amp;T reports outages for wireless customers in Washington, Oregon and Alaska</w:t>
      </w:r>
      <w:r w:rsidRPr="00557828">
        <w:t xml:space="preserve">, </w:t>
      </w:r>
      <w:r w:rsidRPr="00557828">
        <w:rPr>
          <w:smallCaps/>
        </w:rPr>
        <w:t>Q13 Fox</w:t>
      </w:r>
      <w:r w:rsidRPr="00557828">
        <w:t xml:space="preserve"> (Oct. 3, 2018, 6:53 p.m.), </w:t>
      </w:r>
      <w:hyperlink r:id="rId12" w:history="1">
        <w:r w:rsidRPr="00557828">
          <w:rPr>
            <w:rStyle w:val="Hyperlink"/>
          </w:rPr>
          <w:t>https://q13fox.com/2018/10/03/att-reports-widespread-outages-for-wireless-customers-in-washington-oregon-and-alaska/</w:t>
        </w:r>
      </w:hyperlink>
      <w:r>
        <w:t xml:space="preserve"> (</w:t>
      </w:r>
      <w:r>
        <w:rPr>
          <w:i/>
        </w:rPr>
        <w:t xml:space="preserve">Q13 Fox </w:t>
      </w:r>
      <w:r>
        <w:t>article);</w:t>
      </w:r>
      <w:r w:rsidRPr="00557828">
        <w:t xml:space="preserve"> Paul Roberts, </w:t>
      </w:r>
      <w:r w:rsidRPr="00557828">
        <w:rPr>
          <w:i/>
        </w:rPr>
        <w:t>Northwest’s cell networks disrupted after ‘presidential alert’ text</w:t>
      </w:r>
      <w:r w:rsidRPr="00557828">
        <w:t xml:space="preserve">, </w:t>
      </w:r>
      <w:r w:rsidRPr="00557828">
        <w:rPr>
          <w:smallCaps/>
        </w:rPr>
        <w:t>Seattle Times</w:t>
      </w:r>
      <w:r w:rsidRPr="00557828">
        <w:t xml:space="preserve"> (Oct. 3, 2018, 6:24 p.m.), </w:t>
      </w:r>
      <w:hyperlink r:id="rId13" w:history="1">
        <w:r w:rsidRPr="00557828">
          <w:rPr>
            <w:rStyle w:val="Hyperlink"/>
          </w:rPr>
          <w:t>https://www.seattletimes.com/business/regions-cell-networks-disrupted-after-presidential-text-alert/</w:t>
        </w:r>
      </w:hyperlink>
      <w:r>
        <w:t xml:space="preserve"> (</w:t>
      </w:r>
      <w:r>
        <w:rPr>
          <w:i/>
        </w:rPr>
        <w:t xml:space="preserve">Seattle Times </w:t>
      </w:r>
      <w:r>
        <w:t>article).</w:t>
      </w:r>
      <w:r w:rsidRPr="00557828">
        <w:t xml:space="preserve">  </w:t>
      </w:r>
    </w:p>
  </w:footnote>
  <w:footnote w:id="76">
    <w:p w:rsidR="00B407C9" w:rsidP="00405018" w14:paraId="594FDF55" w14:textId="0EF699C7">
      <w:pPr>
        <w:pStyle w:val="FootnoteText"/>
      </w:pPr>
      <w:r>
        <w:rPr>
          <w:rStyle w:val="FootnoteReference"/>
        </w:rPr>
        <w:footnoteRef/>
      </w:r>
      <w:r>
        <w:t xml:space="preserve"> </w:t>
      </w:r>
      <w:r>
        <w:rPr>
          <w:i/>
        </w:rPr>
        <w:t>Id</w:t>
      </w:r>
      <w:r>
        <w:t xml:space="preserve">. </w:t>
      </w:r>
    </w:p>
  </w:footnote>
  <w:footnote w:id="77">
    <w:p w:rsidR="00B407C9" w:rsidP="00405018" w14:paraId="383AA79B" w14:textId="77777777">
      <w:pPr>
        <w:pStyle w:val="FootnoteText"/>
      </w:pPr>
      <w:r>
        <w:rPr>
          <w:rStyle w:val="FootnoteReference"/>
        </w:rPr>
        <w:footnoteRef/>
      </w:r>
      <w:r>
        <w:t xml:space="preserve"> </w:t>
      </w:r>
      <w:r>
        <w:rPr>
          <w:i/>
        </w:rPr>
        <w:t>See</w:t>
      </w:r>
      <w:r>
        <w:t>,</w:t>
      </w:r>
      <w:r>
        <w:rPr>
          <w:i/>
        </w:rPr>
        <w:t xml:space="preserve"> e.g.</w:t>
      </w:r>
      <w:r>
        <w:t>,</w:t>
      </w:r>
      <w:r>
        <w:rPr>
          <w:i/>
        </w:rPr>
        <w:t xml:space="preserve"> Wired </w:t>
      </w:r>
      <w:r>
        <w:t>article (reporting that “[</w:t>
      </w:r>
      <w:r w:rsidRPr="00021945">
        <w:t>p</w:t>
      </w:r>
      <w:r>
        <w:t>]</w:t>
      </w:r>
      <w:r w:rsidRPr="000F4A85">
        <w:t>eople</w:t>
      </w:r>
      <w:r w:rsidRPr="000F4A85">
        <w:t xml:space="preserve"> on every major carrier, with both old and brand new phones, reported not receiving the message</w:t>
      </w:r>
      <w:r>
        <w:t xml:space="preserve">”); Connor </w:t>
      </w:r>
      <w:r w:rsidRPr="00677134">
        <w:t>P</w:t>
      </w:r>
      <w:r>
        <w:t>regizer</w:t>
      </w:r>
      <w:r>
        <w:t xml:space="preserve">, </w:t>
      </w:r>
      <w:r w:rsidRPr="00CF145A">
        <w:rPr>
          <w:i/>
        </w:rPr>
        <w:t>If you didn’t get that Presidential Alert text message today, you’re not alone</w:t>
      </w:r>
      <w:r>
        <w:t>, KPAX</w:t>
      </w:r>
      <w:r>
        <w:rPr>
          <w:i/>
        </w:rPr>
        <w:t xml:space="preserve"> </w:t>
      </w:r>
      <w:r>
        <w:t xml:space="preserve">(Oct. 3, 2018), </w:t>
      </w:r>
      <w:hyperlink r:id="rId14" w:history="1">
        <w:r w:rsidRPr="000C0F08">
          <w:rPr>
            <w:rStyle w:val="Hyperlink"/>
          </w:rPr>
          <w:t>https://kpax.com/news/montana-news/2018/10/03/if-you-didnt-get-that-presidential-alert-text-message-today-youre-not-alone/</w:t>
        </w:r>
      </w:hyperlink>
      <w:r>
        <w:t xml:space="preserve"> (</w:t>
      </w:r>
      <w:r>
        <w:rPr>
          <w:i/>
        </w:rPr>
        <w:t xml:space="preserve">KPAX </w:t>
      </w:r>
      <w:r>
        <w:t>article) (reporting that “even people in the same room were split in terms of who received the message and who did not,” with the author noting that of his two phones, “one received the alert twice, while the other did not receive the message at all”).</w:t>
      </w:r>
    </w:p>
  </w:footnote>
  <w:footnote w:id="78">
    <w:p w:rsidR="00B407C9" w:rsidRPr="0058460D" w:rsidP="00405018" w14:paraId="3D3CA5D3" w14:textId="77777777">
      <w:pPr>
        <w:pStyle w:val="FootnoteText"/>
      </w:pPr>
      <w:r>
        <w:rPr>
          <w:rStyle w:val="FootnoteReference"/>
        </w:rPr>
        <w:footnoteRef/>
      </w:r>
      <w:r>
        <w:t xml:space="preserve"> Olivia </w:t>
      </w:r>
      <w:r>
        <w:t>Rudgard</w:t>
      </w:r>
      <w:r>
        <w:t xml:space="preserve">, </w:t>
      </w:r>
      <w:r>
        <w:rPr>
          <w:i/>
        </w:rPr>
        <w:t>Technical problems for presidential disaster alert phone message test as many Americans don’t receive it</w:t>
      </w:r>
      <w:r>
        <w:t xml:space="preserve">, </w:t>
      </w:r>
      <w:r w:rsidRPr="0058460D">
        <w:rPr>
          <w:smallCaps/>
        </w:rPr>
        <w:t>The Telegraph</w:t>
      </w:r>
      <w:r>
        <w:t xml:space="preserve"> (Oct. 4, 2018), </w:t>
      </w:r>
      <w:hyperlink r:id="rId15" w:history="1">
        <w:r w:rsidRPr="00B252D8">
          <w:rPr>
            <w:rStyle w:val="Hyperlink"/>
          </w:rPr>
          <w:t>https://www.telegraph.co.uk/technology/2018/10/04/first-test-us-disaster-alert-system-runs-technical-problems/</w:t>
        </w:r>
      </w:hyperlink>
      <w:r>
        <w:t xml:space="preserve"> (</w:t>
      </w:r>
      <w:r w:rsidRPr="00BC60AD">
        <w:rPr>
          <w:i/>
        </w:rPr>
        <w:t>Telegraph</w:t>
      </w:r>
      <w:r>
        <w:t xml:space="preserve"> article) (“Many of those stating that they had not received a presidential alert on Wednesday appeared to be users of new iPhones such as the iPhone X….  Experts suggested that the newer phones had not undergone earlier tests which had been used to troubleshoot issues ahead of the national alert.”); </w:t>
      </w:r>
      <w:r>
        <w:rPr>
          <w:i/>
        </w:rPr>
        <w:t xml:space="preserve">Wired </w:t>
      </w:r>
      <w:r>
        <w:t>article (noting that newer phones, which may have been released after FEMA’s more recent local or state-wide tests, may have firmware that reacts unexpectedly to the emergency alert system).</w:t>
      </w:r>
    </w:p>
  </w:footnote>
  <w:footnote w:id="79">
    <w:p w:rsidR="00B407C9" w:rsidRPr="00DD7AB6" w:rsidP="00405018" w14:paraId="5AB25230" w14:textId="77777777">
      <w:pPr>
        <w:pStyle w:val="FootnoteText"/>
      </w:pPr>
      <w:r>
        <w:rPr>
          <w:rStyle w:val="FootnoteReference"/>
        </w:rPr>
        <w:footnoteRef/>
      </w:r>
      <w:r>
        <w:t xml:space="preserve"> Allie Gross, </w:t>
      </w:r>
      <w:r>
        <w:rPr>
          <w:i/>
        </w:rPr>
        <w:t>Presidential alert trial shows ‘technology fails’</w:t>
      </w:r>
      <w:r>
        <w:t xml:space="preserve">, </w:t>
      </w:r>
      <w:r w:rsidRPr="00471EE5">
        <w:rPr>
          <w:smallCaps/>
        </w:rPr>
        <w:t>Jackson Hole Daily</w:t>
      </w:r>
      <w:r>
        <w:t xml:space="preserve"> (Oct. 7, 2018), </w:t>
      </w:r>
      <w:hyperlink r:id="rId16" w:history="1">
        <w:r w:rsidRPr="00B252D8">
          <w:rPr>
            <w:rStyle w:val="Hyperlink"/>
          </w:rPr>
          <w:t>https://www.jhnewsandguide.com/jackson_hole_daily/local/article_971040f1-68eb-5809-a599-de8d6a4e694d.html</w:t>
        </w:r>
      </w:hyperlink>
      <w:r>
        <w:t xml:space="preserve"> (</w:t>
      </w:r>
      <w:r w:rsidRPr="00471EE5">
        <w:rPr>
          <w:i/>
        </w:rPr>
        <w:t>Jackson Hole Daily</w:t>
      </w:r>
      <w:r>
        <w:t xml:space="preserve"> article) (noting that anecdotally “Verizon customers had the biggest issues, but no provider seems to have pulled off the test without any failures.”).</w:t>
      </w:r>
    </w:p>
  </w:footnote>
  <w:footnote w:id="80">
    <w:p w:rsidR="00B407C9" w:rsidRPr="0046301A" w:rsidP="00405018" w14:paraId="0607E0AB" w14:textId="25761B5F">
      <w:pPr>
        <w:pStyle w:val="FootnoteText"/>
      </w:pPr>
      <w:r>
        <w:rPr>
          <w:rStyle w:val="FootnoteReference"/>
        </w:rPr>
        <w:footnoteRef/>
      </w:r>
      <w:r>
        <w:t xml:space="preserve"> </w:t>
      </w:r>
      <w:r>
        <w:rPr>
          <w:i/>
        </w:rPr>
        <w:t>See, e.g.</w:t>
      </w:r>
      <w:r>
        <w:t xml:space="preserve">, Max Cohan, </w:t>
      </w:r>
      <w:r>
        <w:rPr>
          <w:i/>
        </w:rPr>
        <w:t>Thousands didn’t receive presidential alert</w:t>
      </w:r>
      <w:r>
        <w:t xml:space="preserve">, </w:t>
      </w:r>
      <w:r w:rsidRPr="00471EE5">
        <w:rPr>
          <w:smallCaps/>
        </w:rPr>
        <w:t>Local News 8 ABC</w:t>
      </w:r>
      <w:r>
        <w:t xml:space="preserve"> (Oct. 4, 2018), </w:t>
      </w:r>
      <w:hyperlink r:id="rId17" w:history="1">
        <w:r w:rsidRPr="00B252D8">
          <w:rPr>
            <w:rStyle w:val="Hyperlink"/>
          </w:rPr>
          <w:t>https://www.localnews8.com/news/thousands-didn-t-receive-presidential-alert/803087405</w:t>
        </w:r>
      </w:hyperlink>
      <w:r>
        <w:t xml:space="preserve"> (“No connection between wireless carrier and reception of the alert is currently known.”); </w:t>
      </w:r>
      <w:r>
        <w:rPr>
          <w:i/>
        </w:rPr>
        <w:t xml:space="preserve">Jackson Hole Daily </w:t>
      </w:r>
      <w:r>
        <w:t xml:space="preserve">article (noting that no provider appears to have distributed the nationwide WEA test without any failures); </w:t>
      </w:r>
      <w:r>
        <w:rPr>
          <w:i/>
        </w:rPr>
        <w:t xml:space="preserve">Wired </w:t>
      </w:r>
      <w:r>
        <w:t>article (“People on every major carrier, with both old and brand new phones, reported not receiving the message.”).</w:t>
      </w:r>
    </w:p>
  </w:footnote>
  <w:footnote w:id="81">
    <w:p w:rsidR="00B407C9" w14:paraId="7742C2CE" w14:textId="77777777">
      <w:pPr>
        <w:pStyle w:val="FootnoteText"/>
      </w:pPr>
      <w:r>
        <w:rPr>
          <w:rStyle w:val="FootnoteReference"/>
        </w:rPr>
        <w:footnoteRef/>
      </w:r>
      <w:r>
        <w:t xml:space="preserve"> The Public Safety Support Center (PSSC) is the Commission’s public-facing portal to request support from PSHSB and notify it of problems or issues impacting the provision of emergency services.  The PSSC also receives consumer feedback on specific alerting tests, including the nationwide test.  </w:t>
      </w:r>
    </w:p>
  </w:footnote>
  <w:footnote w:id="82">
    <w:p w:rsidR="00B407C9" w:rsidRPr="006C5B76" w:rsidP="00405018" w14:paraId="57384C00" w14:textId="77777777">
      <w:pPr>
        <w:pStyle w:val="FootnoteText"/>
      </w:pPr>
      <w:r>
        <w:rPr>
          <w:rStyle w:val="FootnoteReference"/>
        </w:rPr>
        <w:footnoteRef/>
      </w:r>
      <w:r>
        <w:t xml:space="preserve"> </w:t>
      </w:r>
      <w:r>
        <w:rPr>
          <w:i/>
        </w:rPr>
        <w:t xml:space="preserve">See also </w:t>
      </w:r>
      <w:r>
        <w:t xml:space="preserve">Brandon </w:t>
      </w:r>
      <w:r>
        <w:t>Behle</w:t>
      </w:r>
      <w:r>
        <w:t xml:space="preserve"> and Michael Finney, </w:t>
      </w:r>
      <w:r>
        <w:rPr>
          <w:i/>
        </w:rPr>
        <w:t>Didn’t</w:t>
      </w:r>
      <w:r>
        <w:rPr>
          <w:i/>
        </w:rPr>
        <w:t xml:space="preserve"> get the nationwide alert? This might be why, and here’s how to fix it</w:t>
      </w:r>
      <w:r>
        <w:t xml:space="preserve">, </w:t>
      </w:r>
      <w:r w:rsidRPr="006C5B76">
        <w:rPr>
          <w:smallCaps/>
        </w:rPr>
        <w:t>ABC 7 News</w:t>
      </w:r>
      <w:r>
        <w:t xml:space="preserve"> (Oct. 3, 2018), </w:t>
      </w:r>
      <w:hyperlink r:id="rId18" w:history="1">
        <w:r w:rsidRPr="00792883">
          <w:rPr>
            <w:rStyle w:val="Hyperlink"/>
          </w:rPr>
          <w:t>https://abc7news.com/didnt-get-the-nationwide-alert-this-might-be-why/4405202/</w:t>
        </w:r>
      </w:hyperlink>
      <w:r>
        <w:t xml:space="preserve"> (</w:t>
      </w:r>
      <w:r w:rsidRPr="006C5B76">
        <w:rPr>
          <w:i/>
        </w:rPr>
        <w:t>ABC 7 News</w:t>
      </w:r>
      <w:r>
        <w:t xml:space="preserve"> article) (many people reporting that they got the alert multiple times); </w:t>
      </w:r>
      <w:r w:rsidRPr="00BC60AD">
        <w:rPr>
          <w:i/>
        </w:rPr>
        <w:t>Telegraph</w:t>
      </w:r>
      <w:r>
        <w:t xml:space="preserve"> article (some phones appear to have received multiple messages); </w:t>
      </w:r>
      <w:r w:rsidRPr="00BC60AD">
        <w:rPr>
          <w:i/>
        </w:rPr>
        <w:t>KPAX</w:t>
      </w:r>
      <w:r>
        <w:t xml:space="preserve"> article (the author notes his phone received the alert twice).</w:t>
      </w:r>
    </w:p>
  </w:footnote>
  <w:footnote w:id="83">
    <w:p w:rsidR="00B407C9" w:rsidRPr="008B4827" w:rsidP="00405018" w14:paraId="176BBEA0" w14:textId="77777777">
      <w:pPr>
        <w:pStyle w:val="FootnoteText"/>
      </w:pPr>
      <w:r>
        <w:rPr>
          <w:rStyle w:val="FootnoteReference"/>
        </w:rPr>
        <w:footnoteRef/>
      </w:r>
      <w:r>
        <w:t xml:space="preserve"> </w:t>
      </w:r>
      <w:r>
        <w:rPr>
          <w:i/>
        </w:rPr>
        <w:t xml:space="preserve">See </w:t>
      </w:r>
      <w:r>
        <w:t>47 CFR §§ 10.520, 10.530 (requiring WEA alerts to contain an audio attention signal and vibration cadence).</w:t>
      </w:r>
    </w:p>
  </w:footnote>
  <w:footnote w:id="84">
    <w:p w:rsidR="00B407C9" w:rsidP="00405018" w14:paraId="1B7CAF68" w14:textId="77777777">
      <w:pPr>
        <w:pStyle w:val="FootnoteText"/>
      </w:pPr>
      <w:r>
        <w:rPr>
          <w:rStyle w:val="FootnoteReference"/>
        </w:rPr>
        <w:footnoteRef/>
      </w:r>
      <w:r>
        <w:t xml:space="preserve"> Everbridge Blog Post.</w:t>
      </w:r>
    </w:p>
  </w:footnote>
  <w:footnote w:id="85">
    <w:p w:rsidR="00B407C9" w:rsidRPr="0098431E" w:rsidP="00405018" w14:paraId="5DD518E9" w14:textId="77777777">
      <w:pPr>
        <w:pStyle w:val="FootnoteText"/>
      </w:pPr>
      <w:r>
        <w:rPr>
          <w:rStyle w:val="FootnoteReference"/>
          <w:rFonts w:eastAsia="MS Mincho"/>
        </w:rPr>
        <w:footnoteRef/>
      </w:r>
      <w:r>
        <w:t xml:space="preserve"> </w:t>
      </w:r>
      <w:r w:rsidRPr="00525212">
        <w:rPr>
          <w:i/>
        </w:rPr>
        <w:t>See</w:t>
      </w:r>
      <w:r w:rsidRPr="0098431E">
        <w:t xml:space="preserve"> 47 CFR §</w:t>
      </w:r>
      <w:r>
        <w:t xml:space="preserve">§ </w:t>
      </w:r>
      <w:r w:rsidRPr="0098431E">
        <w:t xml:space="preserve">10.520, 10.530 (accessibility requirements for </w:t>
      </w:r>
      <w:r>
        <w:t>WEA-capable</w:t>
      </w:r>
      <w:r w:rsidRPr="0098431E">
        <w:t xml:space="preserve"> devices</w:t>
      </w:r>
      <w:r>
        <w:t>).</w:t>
      </w:r>
      <w:r w:rsidRPr="0098431E">
        <w:t xml:space="preserve"> </w:t>
      </w:r>
    </w:p>
  </w:footnote>
  <w:footnote w:id="86">
    <w:p w:rsidR="00B407C9" w:rsidP="00343A2C" w14:paraId="53298241" w14:textId="77777777">
      <w:pPr>
        <w:pStyle w:val="FootnoteText"/>
      </w:pPr>
      <w:r>
        <w:rPr>
          <w:rStyle w:val="FootnoteReference"/>
        </w:rPr>
        <w:footnoteRef/>
      </w:r>
      <w:r>
        <w:t xml:space="preserve"> </w:t>
      </w:r>
      <w:r>
        <w:rPr>
          <w:i/>
        </w:rPr>
        <w:t xml:space="preserve">2017 </w:t>
      </w:r>
      <w:r w:rsidRPr="002427D3">
        <w:rPr>
          <w:i/>
        </w:rPr>
        <w:t xml:space="preserve">Nationwide </w:t>
      </w:r>
      <w:r w:rsidRPr="00DD7774">
        <w:rPr>
          <w:i/>
        </w:rPr>
        <w:t xml:space="preserve">EAS </w:t>
      </w:r>
      <w:r w:rsidRPr="002427D3">
        <w:rPr>
          <w:i/>
        </w:rPr>
        <w:t>Test Report</w:t>
      </w:r>
      <w:r>
        <w:t xml:space="preserve"> at 13.</w:t>
      </w:r>
    </w:p>
  </w:footnote>
  <w:footnote w:id="87">
    <w:p w:rsidR="00B407C9" w:rsidP="00343A2C" w14:paraId="7A76C8C2" w14:textId="1DA43BE7">
      <w:pPr>
        <w:pStyle w:val="FootnoteText"/>
      </w:pPr>
      <w:r>
        <w:rPr>
          <w:rStyle w:val="FootnoteReference"/>
        </w:rPr>
        <w:footnoteRef/>
      </w:r>
      <w:r>
        <w:t xml:space="preserve"> Table 12 reflects the percentage of Form Three filers that offered explanations of their complications.</w:t>
      </w:r>
    </w:p>
  </w:footnote>
  <w:footnote w:id="88">
    <w:p w:rsidR="00B407C9" w14:paraId="3A00AFD1" w14:textId="77777777">
      <w:pPr>
        <w:pStyle w:val="FootnoteText"/>
      </w:pPr>
      <w:r>
        <w:rPr>
          <w:rStyle w:val="FootnoteReference"/>
        </w:rPr>
        <w:footnoteRef/>
      </w:r>
      <w:r>
        <w:t xml:space="preserve"> “System clock error” refers to issues with the clock setting on EAS equipment, which, if improperly set, may cause the alert to either expire upon arrival or retransmit much later in the day.</w:t>
      </w:r>
    </w:p>
  </w:footnote>
  <w:footnote w:id="89">
    <w:p w:rsidR="00B407C9" w14:paraId="4765A9C9" w14:textId="77777777">
      <w:pPr>
        <w:pStyle w:val="FootnoteText"/>
      </w:pPr>
      <w:r>
        <w:rPr>
          <w:rStyle w:val="FootnoteReference"/>
        </w:rPr>
        <w:footnoteRef/>
      </w:r>
      <w:r>
        <w:t xml:space="preserve"> </w:t>
      </w:r>
      <w:r w:rsidRPr="0096791D">
        <w:rPr>
          <w:bCs/>
          <w:i/>
        </w:rPr>
        <w:t>201</w:t>
      </w:r>
      <w:r>
        <w:rPr>
          <w:bCs/>
          <w:i/>
        </w:rPr>
        <w:t>7</w:t>
      </w:r>
      <w:r w:rsidRPr="0096791D">
        <w:rPr>
          <w:bCs/>
          <w:i/>
        </w:rPr>
        <w:t xml:space="preserve"> Nationwide EAS Test Report </w:t>
      </w:r>
      <w:r>
        <w:t>at 14.</w:t>
      </w:r>
    </w:p>
  </w:footnote>
  <w:footnote w:id="90">
    <w:p w:rsidR="00B407C9" w14:paraId="222F5B17" w14:textId="77777777">
      <w:pPr>
        <w:pStyle w:val="FootnoteText"/>
      </w:pPr>
      <w:r>
        <w:rPr>
          <w:rStyle w:val="FootnoteReference"/>
        </w:rPr>
        <w:footnoteRef/>
      </w:r>
      <w:r>
        <w:t xml:space="preserve"> </w:t>
      </w:r>
      <w:r w:rsidRPr="00A92306">
        <w:rPr>
          <w:i/>
        </w:rPr>
        <w:t>Id</w:t>
      </w:r>
      <w:r>
        <w:t>.</w:t>
      </w:r>
    </w:p>
  </w:footnote>
  <w:footnote w:id="91">
    <w:p w:rsidR="00B407C9" w14:paraId="0DC63762" w14:textId="77777777">
      <w:pPr>
        <w:pStyle w:val="FootnoteText"/>
      </w:pPr>
      <w:r>
        <w:rPr>
          <w:rStyle w:val="FootnoteReference"/>
        </w:rPr>
        <w:footnoteRef/>
      </w:r>
      <w:r>
        <w:t xml:space="preserve"> </w:t>
      </w:r>
      <w:r w:rsidRPr="00274F27">
        <w:rPr>
          <w:i/>
        </w:rPr>
        <w:t>See</w:t>
      </w:r>
      <w:r>
        <w:t xml:space="preserve"> 47 CFR §§ 11.21(a)(4); 11.52(d)(1).</w:t>
      </w:r>
    </w:p>
  </w:footnote>
  <w:footnote w:id="92">
    <w:p w:rsidR="00B407C9" w:rsidP="0009608F" w14:paraId="08475CA8" w14:textId="140462B7">
      <w:pPr>
        <w:pStyle w:val="FootnoteText"/>
      </w:pPr>
      <w:r>
        <w:rPr>
          <w:rStyle w:val="FootnoteReference"/>
        </w:rPr>
        <w:footnoteRef/>
      </w:r>
      <w:r>
        <w:t xml:space="preserve"> </w:t>
      </w:r>
      <w:r w:rsidRPr="008C74DD">
        <w:rPr>
          <w:i/>
        </w:rPr>
        <w:t>See</w:t>
      </w:r>
      <w:r>
        <w:t xml:space="preserve"> </w:t>
      </w:r>
      <w:r w:rsidRPr="00703FE6" w:rsidR="00703FE6">
        <w:rPr>
          <w:i/>
        </w:rPr>
        <w:t>id</w:t>
      </w:r>
      <w:r w:rsidR="00703FE6">
        <w:t>. at</w:t>
      </w:r>
      <w:r>
        <w:t xml:space="preserve"> § 11.51.  </w:t>
      </w:r>
      <w:r>
        <w:rPr>
          <w:i/>
        </w:rPr>
        <w:t xml:space="preserve">See, e.g., </w:t>
      </w:r>
      <w:r>
        <w:t>NAD Memo at 2.</w:t>
      </w:r>
    </w:p>
  </w:footnote>
  <w:footnote w:id="93">
    <w:p w:rsidR="00B407C9" w:rsidRPr="0098431E" w:rsidP="00383AAA" w14:paraId="34BA5965" w14:textId="77777777">
      <w:pPr>
        <w:pStyle w:val="FootnoteText"/>
      </w:pPr>
      <w:r w:rsidRPr="0098431E">
        <w:rPr>
          <w:rStyle w:val="FootnoteReference"/>
          <w:rFonts w:eastAsia="MS Mincho"/>
        </w:rPr>
        <w:footnoteRef/>
      </w:r>
      <w:r w:rsidRPr="0098431E">
        <w:t xml:space="preserve"> </w:t>
      </w:r>
      <w:r w:rsidRPr="0098431E">
        <w:rPr>
          <w:i/>
        </w:rPr>
        <w:t>2017 Nationwide EAS Test Report</w:t>
      </w:r>
      <w:r>
        <w:rPr>
          <w:i/>
        </w:rPr>
        <w:t xml:space="preserve"> </w:t>
      </w:r>
      <w:r>
        <w:t>at 16</w:t>
      </w:r>
      <w:r w:rsidRPr="0098431E">
        <w:t>.</w:t>
      </w:r>
    </w:p>
  </w:footnote>
  <w:footnote w:id="94">
    <w:p w:rsidR="00B407C9" w:rsidRPr="00D51EBE" w:rsidP="007F614D" w14:paraId="6C0452A7" w14:textId="77777777">
      <w:pPr>
        <w:pStyle w:val="FootnoteText"/>
      </w:pPr>
      <w:r>
        <w:rPr>
          <w:rStyle w:val="FootnoteReference"/>
        </w:rPr>
        <w:footnoteRef/>
      </w:r>
      <w:r>
        <w:t xml:space="preserve"> </w:t>
      </w:r>
      <w:r>
        <w:rPr>
          <w:i/>
        </w:rPr>
        <w:t>See Public Safety and Homeland Security Bureau Announces Agenda for Emergency Alerting Roundtable Discussion</w:t>
      </w:r>
      <w:r>
        <w:t xml:space="preserve">, Public Notice, 33 FCC </w:t>
      </w:r>
      <w:r>
        <w:t>Rcd</w:t>
      </w:r>
      <w:r>
        <w:t xml:space="preserve"> 4619 (PSHSB 2018); </w:t>
      </w:r>
      <w:r>
        <w:rPr>
          <w:i/>
        </w:rPr>
        <w:t>Public Safety and Homeland Security Bureau Announces Emergency Alerting Webinar on July 25</w:t>
      </w:r>
      <w:r>
        <w:t xml:space="preserve">, Public Notice, 33 FCC </w:t>
      </w:r>
      <w:r>
        <w:t>Rcd</w:t>
      </w:r>
      <w:r>
        <w:t xml:space="preserve"> 6719 (PSHSB 2018).</w:t>
      </w:r>
    </w:p>
  </w:footnote>
  <w:footnote w:id="95">
    <w:p w:rsidR="00B407C9" w:rsidRPr="001A6F76" w:rsidP="00B763E3" w14:paraId="7CE3BE23" w14:textId="64067923">
      <w:pPr>
        <w:pStyle w:val="FootnoteText"/>
      </w:pPr>
      <w:r>
        <w:rPr>
          <w:rStyle w:val="FootnoteReference"/>
        </w:rPr>
        <w:footnoteRef/>
      </w:r>
      <w:r>
        <w:t xml:space="preserve"> </w:t>
      </w:r>
      <w:r>
        <w:rPr>
          <w:i/>
        </w:rPr>
        <w:t>Amendment to Part 11 of the Commission’s Rules Regarding the Emergency Alert System; Wireless Emergency Alerts</w:t>
      </w:r>
      <w:r>
        <w:t xml:space="preserve">, PS Docket Nos. 15-94 and 15-91, Report and Order and Further Notice of Proposed Rulemaking, 33 FCC </w:t>
      </w:r>
      <w:r>
        <w:t>Rcd</w:t>
      </w:r>
      <w:r>
        <w:t xml:space="preserve"> 7086, 7105, paras. 46-49 (2018).</w:t>
      </w:r>
    </w:p>
  </w:footnote>
  <w:footnote w:id="96">
    <w:p w:rsidR="00B407C9" w:rsidRPr="00FF3ED0" w:rsidP="00F27A28" w14:paraId="3649E86B" w14:textId="77777777">
      <w:pPr>
        <w:pStyle w:val="FootnoteText"/>
      </w:pPr>
      <w:r w:rsidRPr="00FF3ED0">
        <w:rPr>
          <w:rStyle w:val="FootnoteReference"/>
          <w:rFonts w:eastAsia="MS Mincho"/>
          <w:sz w:val="20"/>
        </w:rPr>
        <w:footnoteRef/>
      </w:r>
      <w:r w:rsidRPr="00FF3ED0">
        <w:t xml:space="preserve"> </w:t>
      </w:r>
      <w:r w:rsidRPr="00FF3ED0">
        <w:t xml:space="preserve">On October 13, 2006, the President signed the Security and Accountability for Every Port (SAFE Port) Act into law.  Title VI of the SAFE Port Act, also known as the WARN Act, establishes a process for the creation of a national mobile alerting system, now known as WEA, whereby Participating CMS Providers transmit emergency alerts to their subscribers.  </w:t>
      </w:r>
      <w:r w:rsidRPr="00FF3ED0">
        <w:rPr>
          <w:i/>
        </w:rPr>
        <w:t xml:space="preserve">See </w:t>
      </w:r>
      <w:r w:rsidRPr="00FF3ED0">
        <w:t xml:space="preserve">Warning, Alert and Response Network (WARN) Act, Title VI of the Security and Accountability </w:t>
      </w:r>
      <w:r w:rsidRPr="00FF3ED0">
        <w:t>For</w:t>
      </w:r>
      <w:r w:rsidRPr="00FF3ED0">
        <w:t xml:space="preserve"> Every Port Act of 2006, 120 Stat. 1884, </w:t>
      </w:r>
      <w:r w:rsidRPr="00FF3ED0">
        <w:rPr>
          <w:i/>
        </w:rPr>
        <w:t xml:space="preserve">codified at </w:t>
      </w:r>
      <w:r w:rsidRPr="00FF3ED0">
        <w:t xml:space="preserve">47 U.S.C. </w:t>
      </w:r>
      <w:r w:rsidRPr="00FF3ED0">
        <w:rPr>
          <w:rStyle w:val="Heading6Char"/>
          <w:rFonts w:eastAsia="Calibri"/>
          <w:sz w:val="20"/>
          <w:szCs w:val="20"/>
        </w:rPr>
        <w:t>§</w:t>
      </w:r>
      <w:r w:rsidRPr="00FF3ED0">
        <w:t xml:space="preserve"> 1200, </w:t>
      </w:r>
      <w:r w:rsidRPr="00FF3ED0">
        <w:rPr>
          <w:i/>
        </w:rPr>
        <w:t>et seq</w:t>
      </w:r>
      <w:r w:rsidRPr="00FF3ED0">
        <w:t xml:space="preserve">. (2006) (WARN Act).  </w:t>
      </w:r>
    </w:p>
  </w:footnote>
  <w:footnote w:id="97">
    <w:p w:rsidR="00B407C9" w:rsidRPr="00FF3ED0" w:rsidP="00F27A28" w14:paraId="4C6611AF" w14:textId="77777777">
      <w:pPr>
        <w:pStyle w:val="FootnoteText"/>
      </w:pPr>
      <w:r w:rsidRPr="00FF3ED0">
        <w:rPr>
          <w:rStyle w:val="FootnoteReference"/>
          <w:rFonts w:eastAsia="MS Mincho"/>
          <w:sz w:val="20"/>
        </w:rPr>
        <w:footnoteRef/>
      </w:r>
      <w:r w:rsidRPr="00FF3ED0">
        <w:t xml:space="preserve"> </w:t>
      </w:r>
      <w:r w:rsidRPr="00FF3ED0">
        <w:rPr>
          <w:i/>
        </w:rPr>
        <w:t xml:space="preserve">See </w:t>
      </w:r>
      <w:r w:rsidRPr="00FF3ED0">
        <w:t xml:space="preserve">47 CFR </w:t>
      </w:r>
      <w:r w:rsidRPr="00FF3ED0">
        <w:rPr>
          <w:color w:val="010101"/>
        </w:rPr>
        <w:t>Part 10</w:t>
      </w:r>
      <w:r w:rsidRPr="00FF3ED0">
        <w:t>.</w:t>
      </w:r>
    </w:p>
  </w:footnote>
  <w:footnote w:id="98">
    <w:p w:rsidR="00B407C9" w:rsidRPr="00FF3ED0" w:rsidP="00F27A28" w14:paraId="02C144FD" w14:textId="77777777">
      <w:pPr>
        <w:pStyle w:val="FootnoteText"/>
      </w:pPr>
      <w:r w:rsidRPr="00FF3ED0">
        <w:rPr>
          <w:rStyle w:val="FootnoteReference"/>
          <w:rFonts w:eastAsia="MS Mincho"/>
          <w:sz w:val="20"/>
        </w:rPr>
        <w:footnoteRef/>
      </w:r>
      <w:r w:rsidRPr="00FF3ED0">
        <w:t xml:space="preserve"> </w:t>
      </w:r>
      <w:r w:rsidRPr="00FF3ED0">
        <w:t>WARN Act §§ 603(a), (d)</w:t>
      </w:r>
      <w:r w:rsidRPr="00FF3ED0">
        <w:t xml:space="preserve">, 47 U.S.C. </w:t>
      </w:r>
      <w:r w:rsidRPr="00FF3ED0">
        <w:rPr>
          <w:rStyle w:val="Heading6Char"/>
          <w:rFonts w:eastAsia="Calibri"/>
          <w:b w:val="0"/>
          <w:sz w:val="20"/>
          <w:szCs w:val="20"/>
        </w:rPr>
        <w:t>§</w:t>
      </w:r>
      <w:r w:rsidRPr="00FF3ED0">
        <w:t xml:space="preserve"> 1203(a), (d)</w:t>
      </w:r>
      <w:r w:rsidRPr="00FF3ED0">
        <w:t xml:space="preserve">.  </w:t>
      </w:r>
    </w:p>
  </w:footnote>
  <w:footnote w:id="99">
    <w:p w:rsidR="00B407C9" w:rsidRPr="00FF3ED0" w:rsidP="00F27A28" w14:paraId="4B804C4A" w14:textId="77777777">
      <w:pPr>
        <w:pStyle w:val="FootnoteText"/>
      </w:pPr>
      <w:r w:rsidRPr="00FF3ED0">
        <w:rPr>
          <w:rStyle w:val="FootnoteReference"/>
          <w:rFonts w:eastAsia="MS Mincho"/>
          <w:sz w:val="20"/>
        </w:rPr>
        <w:footnoteRef/>
      </w:r>
      <w:r w:rsidRPr="00FF3ED0">
        <w:t xml:space="preserve"> </w:t>
      </w:r>
      <w:r w:rsidRPr="00FF3ED0">
        <w:rPr>
          <w:i/>
          <w:iCs/>
        </w:rPr>
        <w:t>See</w:t>
      </w:r>
      <w:r w:rsidRPr="00FF3ED0">
        <w:t xml:space="preserve"> Notice of Appointment of Members to the Commercial Mobile Service Alert Advisory Committee, Agenda for December 12, 2006 Meeting, </w:t>
      </w:r>
      <w:r w:rsidRPr="00FF3ED0">
        <w:rPr>
          <w:i/>
          <w:iCs/>
        </w:rPr>
        <w:t>Public Notice</w:t>
      </w:r>
      <w:r w:rsidRPr="00FF3ED0">
        <w:t xml:space="preserve">, 21 FCC </w:t>
      </w:r>
      <w:r w:rsidRPr="00FF3ED0">
        <w:t>Rcd</w:t>
      </w:r>
      <w:r w:rsidRPr="00FF3ED0">
        <w:t xml:space="preserve"> 14175 (PSHSB 2006).  </w:t>
      </w:r>
    </w:p>
  </w:footnote>
  <w:footnote w:id="100">
    <w:p w:rsidR="00B407C9" w:rsidRPr="00FF3ED0" w:rsidP="00F27A28" w14:paraId="13FB9D70" w14:textId="77777777">
      <w:pPr>
        <w:pStyle w:val="FootnoteText"/>
      </w:pPr>
      <w:r w:rsidRPr="00FF3ED0">
        <w:rPr>
          <w:rStyle w:val="FootnoteReference"/>
          <w:rFonts w:eastAsia="MS Mincho"/>
          <w:sz w:val="20"/>
        </w:rPr>
        <w:footnoteRef/>
      </w:r>
      <w:r w:rsidRPr="00FF3ED0">
        <w:t xml:space="preserve"> </w:t>
      </w:r>
      <w:r w:rsidRPr="00FF3ED0">
        <w:rPr>
          <w:i/>
        </w:rPr>
        <w:t xml:space="preserve">See </w:t>
      </w:r>
      <w:r w:rsidRPr="00FF3ED0">
        <w:t>Federal Communications Commission Commercial Mobile Service Alert Advisory Committee (CMSAAC), PMG-0035 Commercial Mobile Alert Service Architecture and Requirements, at 66 (2007) (</w:t>
      </w:r>
      <w:r w:rsidRPr="00FF3ED0">
        <w:rPr>
          <w:i/>
        </w:rPr>
        <w:t>CMSAAC Report</w:t>
      </w:r>
      <w:r w:rsidRPr="00FF3ED0">
        <w:t>).</w:t>
      </w:r>
    </w:p>
  </w:footnote>
  <w:footnote w:id="101">
    <w:p w:rsidR="00B407C9" w:rsidRPr="00FF3ED0" w:rsidP="00F27A28" w14:paraId="36D3810B" w14:textId="77777777">
      <w:pPr>
        <w:pStyle w:val="FootnoteText"/>
      </w:pPr>
      <w:r w:rsidRPr="00FF3ED0">
        <w:rPr>
          <w:rStyle w:val="FootnoteReference"/>
          <w:rFonts w:eastAsia="MS Mincho"/>
          <w:sz w:val="20"/>
        </w:rPr>
        <w:footnoteRef/>
      </w:r>
      <w:r w:rsidRPr="00FF3ED0">
        <w:t xml:space="preserve"> </w:t>
      </w:r>
      <w:r w:rsidRPr="00FF3ED0">
        <w:t>WARN Act § 602(a)</w:t>
      </w:r>
      <w:r w:rsidRPr="00FF3ED0">
        <w:t>, 47 U.S.C.</w:t>
      </w:r>
      <w:r w:rsidRPr="00FF3ED0">
        <w:t xml:space="preserve"> § </w:t>
      </w:r>
      <w:r w:rsidRPr="00FF3ED0">
        <w:t xml:space="preserve">1202(a) </w:t>
      </w:r>
      <w:r w:rsidRPr="00FF3ED0">
        <w:t xml:space="preserve">(requiring the Commission to promulgate technical standards for WEA within 180 days of receipt of the CMSAAC’s recommendations); </w:t>
      </w:r>
      <w:r w:rsidRPr="00FF3ED0">
        <w:rPr>
          <w:i/>
        </w:rPr>
        <w:t>id.</w:t>
      </w:r>
      <w:r w:rsidRPr="00FF3ED0">
        <w:t xml:space="preserve"> at</w:t>
      </w:r>
      <w:r w:rsidRPr="00FF3ED0">
        <w:t xml:space="preserve"> § 602(c)</w:t>
      </w:r>
      <w:r w:rsidRPr="00FF3ED0">
        <w:t>, 47 U.S.C.</w:t>
      </w:r>
      <w:r w:rsidRPr="00FF3ED0">
        <w:t xml:space="preserve"> § </w:t>
      </w:r>
      <w:r w:rsidRPr="00FF3ED0">
        <w:t>1202(c)</w:t>
      </w:r>
      <w:r w:rsidRPr="00FF3ED0">
        <w:t xml:space="preserve"> (requiring the Commission to promulgate requirements for noncommercial educational broadcast stations or public broadcast stations to enable the distribution of geographically targeted messages within 90 days of the publication of its technical standards); </w:t>
      </w:r>
      <w:r w:rsidRPr="00FF3ED0">
        <w:rPr>
          <w:i/>
        </w:rPr>
        <w:t xml:space="preserve">id. </w:t>
      </w:r>
      <w:r w:rsidRPr="00FF3ED0">
        <w:t>at</w:t>
      </w:r>
      <w:r w:rsidRPr="00FF3ED0">
        <w:t xml:space="preserve"> § 602(b)</w:t>
      </w:r>
      <w:r w:rsidRPr="00FF3ED0">
        <w:t>, 47 U.S.C.</w:t>
      </w:r>
      <w:r w:rsidRPr="00FF3ED0">
        <w:t xml:space="preserve"> § </w:t>
      </w:r>
      <w:r w:rsidRPr="00FF3ED0">
        <w:t>1202(b)</w:t>
      </w:r>
      <w:r w:rsidRPr="00FF3ED0">
        <w:t xml:space="preserve"> (requiring the Commission to promulgate election procedures for CMS Providers within 120 days of the publication of its technical standards)</w:t>
      </w:r>
      <w:r w:rsidRPr="00FF3ED0">
        <w:t xml:space="preserve">; </w:t>
      </w:r>
      <w:r w:rsidRPr="00FF3ED0">
        <w:rPr>
          <w:i/>
        </w:rPr>
        <w:t>id.</w:t>
      </w:r>
      <w:r w:rsidRPr="00FF3ED0">
        <w:t xml:space="preserve"> at § 602(f</w:t>
      </w:r>
      <w:r w:rsidRPr="00FF3ED0">
        <w:t>)</w:t>
      </w:r>
      <w:r w:rsidRPr="00FF3ED0">
        <w:t>, 47 U.S.C.</w:t>
      </w:r>
      <w:r w:rsidRPr="00FF3ED0">
        <w:t xml:space="preserve"> § </w:t>
      </w:r>
      <w:r w:rsidRPr="00FF3ED0">
        <w:t>1202(f) (requiring the Commission to require by regulation technical testing for commercial mobile service providers that elect to transmit emergency alerts and for the devices and equipment used by such providers for transmitting such alerts).</w:t>
      </w:r>
    </w:p>
  </w:footnote>
  <w:footnote w:id="102">
    <w:p w:rsidR="00B407C9" w:rsidRPr="00FF3ED0" w:rsidP="00F27A28" w14:paraId="6B0A550A" w14:textId="77777777">
      <w:pPr>
        <w:pStyle w:val="FootnoteText"/>
      </w:pPr>
      <w:r w:rsidRPr="00FF3ED0">
        <w:rPr>
          <w:rStyle w:val="FootnoteReference"/>
          <w:rFonts w:eastAsia="MS Mincho"/>
          <w:sz w:val="20"/>
        </w:rPr>
        <w:footnoteRef/>
      </w:r>
      <w:r w:rsidRPr="00FF3ED0">
        <w:t xml:space="preserve"> </w:t>
      </w:r>
      <w:r w:rsidRPr="00FF3ED0">
        <w:rPr>
          <w:i/>
        </w:rPr>
        <w:t>Id.</w:t>
      </w:r>
      <w:r w:rsidRPr="00FF3ED0">
        <w:t xml:space="preserve"> at</w:t>
      </w:r>
      <w:r w:rsidRPr="00FF3ED0">
        <w:t xml:space="preserve"> § 602(a)</w:t>
      </w:r>
      <w:r w:rsidRPr="00FF3ED0">
        <w:t>, 47 U.S.C.</w:t>
      </w:r>
      <w:r w:rsidRPr="00FF3ED0">
        <w:t xml:space="preserve"> § </w:t>
      </w:r>
      <w:r w:rsidRPr="00FF3ED0">
        <w:t>1202(a).</w:t>
      </w:r>
    </w:p>
  </w:footnote>
  <w:footnote w:id="103">
    <w:p w:rsidR="00B407C9" w:rsidRPr="00FF3ED0" w:rsidP="00F27A28" w14:paraId="066D5CDE" w14:textId="77777777">
      <w:pPr>
        <w:pStyle w:val="FootnoteText"/>
      </w:pPr>
      <w:r w:rsidRPr="00FF3ED0">
        <w:rPr>
          <w:rStyle w:val="FootnoteReference"/>
          <w:rFonts w:eastAsia="MS Mincho"/>
          <w:sz w:val="20"/>
        </w:rPr>
        <w:footnoteRef/>
      </w:r>
      <w:r w:rsidRPr="00FF3ED0">
        <w:t xml:space="preserve"> </w:t>
      </w:r>
      <w:r w:rsidRPr="00FF3ED0">
        <w:rPr>
          <w:i/>
        </w:rPr>
        <w:t xml:space="preserve">Id. </w:t>
      </w:r>
      <w:r w:rsidRPr="00FF3ED0">
        <w:t>at §</w:t>
      </w:r>
      <w:r w:rsidRPr="00FF3ED0">
        <w:rPr>
          <w:i/>
        </w:rPr>
        <w:t xml:space="preserve"> </w:t>
      </w:r>
      <w:r w:rsidRPr="00FF3ED0">
        <w:t>602(b), 47 U.S.C.</w:t>
      </w:r>
      <w:r w:rsidRPr="00FF3ED0">
        <w:t xml:space="preserve"> § </w:t>
      </w:r>
      <w:r w:rsidRPr="00FF3ED0">
        <w:t xml:space="preserve">1202(b).  Under the WARN Act, CMS Providers could elect to participate in whole, in part, or not at all.  </w:t>
      </w:r>
      <w:r w:rsidRPr="00FF3ED0">
        <w:rPr>
          <w:i/>
        </w:rPr>
        <w:t xml:space="preserve">Id. </w:t>
      </w:r>
      <w:r w:rsidRPr="00FF3ED0">
        <w:t>at § 602(b)(1)(B), 47 U.S.C.</w:t>
      </w:r>
      <w:r w:rsidRPr="00FF3ED0">
        <w:t xml:space="preserve"> § </w:t>
      </w:r>
      <w:r w:rsidRPr="00FF3ED0">
        <w:t xml:space="preserve">1202(b)(1)(B).  CMS Providers who intended to participate in WEA were required to specify their intent to the Commission in writing.  </w:t>
      </w:r>
      <w:r w:rsidRPr="00FF3ED0">
        <w:rPr>
          <w:i/>
        </w:rPr>
        <w:t>See id.</w:t>
      </w:r>
      <w:r w:rsidRPr="00FF3ED0">
        <w:t xml:space="preserve"> at §</w:t>
      </w:r>
      <w:r w:rsidRPr="00FF3ED0">
        <w:rPr>
          <w:i/>
        </w:rPr>
        <w:t xml:space="preserve"> </w:t>
      </w:r>
      <w:r w:rsidRPr="00FF3ED0">
        <w:t>602(B)(2)(A), 47 U.S.C.</w:t>
      </w:r>
      <w:r w:rsidRPr="00FF3ED0">
        <w:t xml:space="preserve"> § </w:t>
      </w:r>
      <w:r w:rsidRPr="00FF3ED0">
        <w:t>1202(B)(2)(A) (requiring that “within 30 days after the Commission issues its order under [Section 602(b)], each licensee providing commercial mobile service shall file an election with the Commission with respect to whether or not it intends to transmit emergency alerts”).</w:t>
      </w:r>
    </w:p>
  </w:footnote>
  <w:footnote w:id="104">
    <w:p w:rsidR="00B407C9" w:rsidRPr="00FF3ED0" w:rsidP="00F27A28" w14:paraId="2C906A6B" w14:textId="079BFAAC">
      <w:pPr>
        <w:pStyle w:val="FootnoteText"/>
      </w:pPr>
      <w:r w:rsidRPr="00FF3ED0">
        <w:rPr>
          <w:rStyle w:val="FootnoteReference"/>
          <w:rFonts w:eastAsia="MS Mincho"/>
          <w:sz w:val="20"/>
        </w:rPr>
        <w:footnoteRef/>
      </w:r>
      <w:r w:rsidRPr="00FF3ED0">
        <w:t xml:space="preserve"> </w:t>
      </w:r>
      <w:r w:rsidRPr="00FF3ED0">
        <w:rPr>
          <w:i/>
        </w:rPr>
        <w:t xml:space="preserve">See </w:t>
      </w:r>
      <w:r w:rsidRPr="00FF3ED0">
        <w:t xml:space="preserve">FCC, </w:t>
      </w:r>
      <w:r w:rsidRPr="00FF3ED0">
        <w:rPr>
          <w:i/>
        </w:rPr>
        <w:t>Master CMAS Registry</w:t>
      </w:r>
      <w:r w:rsidRPr="00FF3ED0">
        <w:t xml:space="preserve">, </w:t>
      </w:r>
      <w:hyperlink r:id="rId19" w:history="1">
        <w:r w:rsidRPr="00D133D1" w:rsidR="00703FE6">
          <w:rPr>
            <w:rStyle w:val="Hyperlink"/>
          </w:rPr>
          <w:t>https://www.fcc.gov/pshs/docs/services/cmas/MasterCMASRegistry.xls</w:t>
        </w:r>
      </w:hyperlink>
      <w:r w:rsidR="00703FE6">
        <w:t xml:space="preserve"> </w:t>
      </w:r>
      <w:r w:rsidRPr="00FF3ED0">
        <w:t xml:space="preserve">(last updated Feb. 14, 2013); PS Docket No. 08-146 (containing a record of all Participating CMS Providers’ elections to participate in WEA).  </w:t>
      </w:r>
      <w:r w:rsidRPr="00FF3ED0">
        <w:rPr>
          <w:i/>
        </w:rPr>
        <w:t>See</w:t>
      </w:r>
      <w:r w:rsidRPr="00FF3ED0">
        <w:t xml:space="preserve"> </w:t>
      </w:r>
      <w:r w:rsidRPr="00FF3ED0">
        <w:rPr>
          <w:i/>
        </w:rPr>
        <w:t xml:space="preserve">also </w:t>
      </w:r>
      <w:r w:rsidRPr="00FF3ED0">
        <w:t xml:space="preserve">Policies Regarding Mobile Spectrum Holdings and Expanding the Economic and Innovation Opportunities of Spectrum Through Incentive Auctions, WT Docket No. 12-269 and Docket No. 12-268, Report and Order, 29 FCC </w:t>
      </w:r>
      <w:r w:rsidRPr="00FF3ED0">
        <w:t>Rcd</w:t>
      </w:r>
      <w:r w:rsidRPr="00FF3ED0">
        <w:t xml:space="preserve"> 6133, 6206 &amp; n.502 (2014) </w:t>
      </w:r>
      <w:r w:rsidRPr="00FF3ED0">
        <w:rPr>
          <w:i/>
        </w:rPr>
        <w:t xml:space="preserve">citing </w:t>
      </w:r>
      <w:r w:rsidRPr="00FF3ED0">
        <w:rPr>
          <w:iCs/>
        </w:rPr>
        <w:t xml:space="preserve">Implementation of Section 6002(b) of the Omnibus Budget Reconciliation Act of 1993; Annual Report and Analysis of Competitive Market Conditions With Respect to Mobile Wireless, Including Commercial Mobile Services, WT Docket No. 11-186, </w:t>
      </w:r>
      <w:r w:rsidRPr="00FF3ED0">
        <w:rPr>
          <w:i/>
          <w:iCs/>
        </w:rPr>
        <w:t>Sixteenth Report</w:t>
      </w:r>
      <w:r w:rsidRPr="00FF3ED0">
        <w:rPr>
          <w:iCs/>
        </w:rPr>
        <w:t xml:space="preserve">, 28 FCC </w:t>
      </w:r>
      <w:r w:rsidRPr="00FF3ED0">
        <w:rPr>
          <w:iCs/>
        </w:rPr>
        <w:t>Rcd</w:t>
      </w:r>
      <w:r w:rsidRPr="00FF3ED0">
        <w:rPr>
          <w:iCs/>
        </w:rPr>
        <w:t xml:space="preserve"> 3700,</w:t>
      </w:r>
      <w:r w:rsidRPr="00FF3ED0">
        <w:t xml:space="preserve"> 3736-37, para. 26 (observing that “there are four nationwide providers in the U.S. with networks that cover a majority of the population and land area of the country – Verizon Wireless, AT&amp;T, Sprint, and T-Mobile –” and referring to other providers with “networks that are limited to regional and local areas” as “non-nationwide providers.”); Implementation of Section 6002(b) of the Omnibus Budget Reconciliation Act of 1993; Annual Report and Analysis of Competitive Market Conditions With Respect to Mobile Wireless, Including Commercial mobile Services, WT Docket No 15-125, </w:t>
      </w:r>
      <w:r w:rsidRPr="00FF3ED0">
        <w:rPr>
          <w:i/>
        </w:rPr>
        <w:t>Eighteenth Report</w:t>
      </w:r>
      <w:r w:rsidRPr="00FF3ED0">
        <w:t xml:space="preserve">, 30 FCC </w:t>
      </w:r>
      <w:r w:rsidRPr="00FF3ED0">
        <w:t>Rcd</w:t>
      </w:r>
      <w:r w:rsidRPr="00FF3ED0">
        <w:t xml:space="preserve"> 14515, 14520, para. 9 (2015).</w:t>
      </w:r>
    </w:p>
  </w:footnote>
  <w:footnote w:id="105">
    <w:p w:rsidR="00B407C9" w:rsidRPr="00A150FE" w:rsidP="00A163F0" w14:paraId="3B4F666F" w14:textId="0AADB8A3">
      <w:pPr>
        <w:autoSpaceDE w:val="0"/>
        <w:autoSpaceDN w:val="0"/>
        <w:adjustRightInd w:val="0"/>
        <w:spacing w:after="120"/>
        <w:rPr>
          <w:rFonts w:eastAsia="Times New Roman" w:cs="Times New Roman"/>
          <w:bCs w:val="0"/>
          <w:kern w:val="0"/>
          <w:sz w:val="20"/>
          <w:szCs w:val="20"/>
          <w:lang w:eastAsia="en-US"/>
        </w:rPr>
      </w:pPr>
      <w:r w:rsidRPr="00A150FE">
        <w:rPr>
          <w:rStyle w:val="FootnoteReference"/>
          <w:sz w:val="20"/>
          <w:szCs w:val="20"/>
        </w:rPr>
        <w:footnoteRef/>
      </w:r>
      <w:r w:rsidRPr="00A150FE">
        <w:rPr>
          <w:sz w:val="20"/>
          <w:szCs w:val="20"/>
        </w:rPr>
        <w:t xml:space="preserve"> </w:t>
      </w:r>
      <w:r>
        <w:rPr>
          <w:rFonts w:eastAsia="Times New Roman" w:cs="Times New Roman"/>
          <w:bCs w:val="0"/>
          <w:iCs/>
          <w:kern w:val="0"/>
          <w:sz w:val="20"/>
          <w:szCs w:val="20"/>
          <w:lang w:eastAsia="en-US"/>
        </w:rPr>
        <w:t>Data based on PSHSB staff conversation with FEMA on March 11, 2019.</w:t>
      </w:r>
      <w:r w:rsidRPr="00A150FE">
        <w:rPr>
          <w:rFonts w:eastAsia="Times New Roman" w:cs="Times New Roman"/>
          <w:bCs w:val="0"/>
          <w:kern w:val="0"/>
          <w:sz w:val="20"/>
          <w:szCs w:val="20"/>
          <w:lang w:eastAsia="en-US"/>
        </w:rPr>
        <w:t xml:space="preserve"> </w:t>
      </w:r>
      <w:r>
        <w:rPr>
          <w:rFonts w:eastAsia="Times New Roman" w:cs="Times New Roman"/>
          <w:bCs w:val="0"/>
          <w:kern w:val="0"/>
          <w:sz w:val="20"/>
          <w:szCs w:val="20"/>
          <w:lang w:eastAsia="en-US"/>
        </w:rPr>
        <w:t xml:space="preserve"> </w:t>
      </w:r>
      <w:r w:rsidRPr="00A150FE">
        <w:rPr>
          <w:rFonts w:eastAsia="Times New Roman" w:cs="Times New Roman"/>
          <w:bCs w:val="0"/>
          <w:kern w:val="0"/>
          <w:sz w:val="20"/>
          <w:szCs w:val="20"/>
          <w:lang w:eastAsia="en-US"/>
        </w:rPr>
        <w:t>The AMBER (America’s</w:t>
      </w:r>
      <w:r>
        <w:rPr>
          <w:rFonts w:eastAsia="Times New Roman" w:cs="Times New Roman"/>
          <w:bCs w:val="0"/>
          <w:kern w:val="0"/>
          <w:sz w:val="20"/>
          <w:szCs w:val="20"/>
          <w:lang w:eastAsia="en-US"/>
        </w:rPr>
        <w:t xml:space="preserve"> </w:t>
      </w:r>
      <w:r w:rsidRPr="00A150FE">
        <w:rPr>
          <w:rFonts w:eastAsia="Times New Roman" w:cs="Times New Roman"/>
          <w:bCs w:val="0"/>
          <w:kern w:val="0"/>
          <w:sz w:val="20"/>
          <w:szCs w:val="20"/>
          <w:lang w:eastAsia="en-US"/>
        </w:rPr>
        <w:t>Missing: Broadcast Emergency Response) program is a nationwide alerting program designed to help bring missing</w:t>
      </w:r>
      <w:r>
        <w:rPr>
          <w:rFonts w:eastAsia="Times New Roman" w:cs="Times New Roman"/>
          <w:bCs w:val="0"/>
          <w:kern w:val="0"/>
          <w:sz w:val="20"/>
          <w:szCs w:val="20"/>
          <w:lang w:eastAsia="en-US"/>
        </w:rPr>
        <w:t xml:space="preserve"> </w:t>
      </w:r>
      <w:r w:rsidRPr="00A150FE">
        <w:rPr>
          <w:rFonts w:eastAsia="Times New Roman" w:cs="Times New Roman"/>
          <w:bCs w:val="0"/>
          <w:kern w:val="0"/>
          <w:sz w:val="20"/>
          <w:szCs w:val="20"/>
          <w:lang w:eastAsia="en-US"/>
        </w:rPr>
        <w:t xml:space="preserve">children to safety. </w:t>
      </w:r>
      <w:r w:rsidRPr="00A150FE">
        <w:rPr>
          <w:rFonts w:eastAsia="Times New Roman" w:cs="Times New Roman"/>
          <w:bCs w:val="0"/>
          <w:i/>
          <w:iCs/>
          <w:kern w:val="0"/>
          <w:sz w:val="20"/>
          <w:szCs w:val="20"/>
          <w:lang w:eastAsia="en-US"/>
        </w:rPr>
        <w:t xml:space="preserve">See </w:t>
      </w:r>
      <w:r w:rsidRPr="00A150FE">
        <w:rPr>
          <w:rFonts w:eastAsia="Times New Roman" w:cs="Times New Roman"/>
          <w:bCs w:val="0"/>
          <w:kern w:val="0"/>
          <w:sz w:val="20"/>
          <w:szCs w:val="20"/>
          <w:lang w:eastAsia="en-US"/>
        </w:rPr>
        <w:t xml:space="preserve">Office of Justice Programs, </w:t>
      </w:r>
      <w:r w:rsidRPr="00A150FE">
        <w:rPr>
          <w:rFonts w:eastAsia="Times New Roman" w:cs="Times New Roman"/>
          <w:bCs w:val="0"/>
          <w:i/>
          <w:iCs/>
          <w:kern w:val="0"/>
          <w:sz w:val="20"/>
          <w:szCs w:val="20"/>
          <w:lang w:eastAsia="en-US"/>
        </w:rPr>
        <w:t>AMBERAlert.gov</w:t>
      </w:r>
      <w:r w:rsidRPr="00A150FE">
        <w:rPr>
          <w:rFonts w:eastAsia="Times New Roman" w:cs="Times New Roman"/>
          <w:bCs w:val="0"/>
          <w:kern w:val="0"/>
          <w:sz w:val="20"/>
          <w:szCs w:val="20"/>
          <w:lang w:eastAsia="en-US"/>
        </w:rPr>
        <w:t xml:space="preserve">, </w:t>
      </w:r>
      <w:hyperlink r:id="rId5" w:history="1">
        <w:r w:rsidRPr="00D133D1" w:rsidR="00703FE6">
          <w:rPr>
            <w:rStyle w:val="Hyperlink"/>
            <w:rFonts w:eastAsia="Times New Roman"/>
            <w:bCs w:val="0"/>
            <w:kern w:val="0"/>
            <w:sz w:val="20"/>
            <w:szCs w:val="20"/>
            <w:lang w:eastAsia="en-US"/>
          </w:rPr>
          <w:t>http://www.amberalert.gov/about.htm</w:t>
        </w:r>
      </w:hyperlink>
      <w:r w:rsidR="00703FE6">
        <w:rPr>
          <w:rFonts w:eastAsia="Times New Roman" w:cs="Times New Roman"/>
          <w:bCs w:val="0"/>
          <w:kern w:val="0"/>
          <w:sz w:val="20"/>
          <w:szCs w:val="20"/>
          <w:lang w:eastAsia="en-US"/>
        </w:rPr>
        <w:t xml:space="preserve"> </w:t>
      </w:r>
      <w:r w:rsidRPr="00A150FE">
        <w:rPr>
          <w:rFonts w:eastAsia="Times New Roman" w:cs="Times New Roman"/>
          <w:bCs w:val="0"/>
          <w:kern w:val="0"/>
          <w:sz w:val="20"/>
          <w:szCs w:val="20"/>
          <w:lang w:eastAsia="en-US"/>
        </w:rPr>
        <w:t>(last</w:t>
      </w:r>
      <w:r>
        <w:rPr>
          <w:rFonts w:eastAsia="Times New Roman" w:cs="Times New Roman"/>
          <w:bCs w:val="0"/>
          <w:kern w:val="0"/>
          <w:sz w:val="20"/>
          <w:szCs w:val="20"/>
          <w:lang w:eastAsia="en-US"/>
        </w:rPr>
        <w:t xml:space="preserve"> </w:t>
      </w:r>
      <w:r w:rsidRPr="00A150FE">
        <w:rPr>
          <w:rFonts w:eastAsia="Times New Roman" w:cs="Times New Roman"/>
          <w:bCs w:val="0"/>
          <w:kern w:val="0"/>
          <w:sz w:val="20"/>
          <w:szCs w:val="20"/>
          <w:lang w:eastAsia="en-US"/>
        </w:rPr>
        <w:t xml:space="preserve">visited </w:t>
      </w:r>
      <w:r>
        <w:rPr>
          <w:rFonts w:eastAsia="Times New Roman" w:cs="Times New Roman"/>
          <w:bCs w:val="0"/>
          <w:kern w:val="0"/>
          <w:sz w:val="20"/>
          <w:szCs w:val="20"/>
          <w:lang w:eastAsia="en-US"/>
        </w:rPr>
        <w:t>Mar. 11</w:t>
      </w:r>
      <w:r w:rsidRPr="00A150FE">
        <w:rPr>
          <w:rFonts w:eastAsia="Times New Roman" w:cs="Times New Roman"/>
          <w:bCs w:val="0"/>
          <w:kern w:val="0"/>
          <w:sz w:val="20"/>
          <w:szCs w:val="20"/>
          <w:lang w:eastAsia="en-US"/>
        </w:rPr>
        <w:t>, 201</w:t>
      </w:r>
      <w:r>
        <w:rPr>
          <w:rFonts w:eastAsia="Times New Roman" w:cs="Times New Roman"/>
          <w:bCs w:val="0"/>
          <w:kern w:val="0"/>
          <w:sz w:val="20"/>
          <w:szCs w:val="20"/>
          <w:lang w:eastAsia="en-US"/>
        </w:rPr>
        <w:t>9</w:t>
      </w:r>
      <w:r w:rsidRPr="00A150FE">
        <w:rPr>
          <w:rFonts w:eastAsia="Times New Roman" w:cs="Times New Roman"/>
          <w:bCs w:val="0"/>
          <w:kern w:val="0"/>
          <w:sz w:val="20"/>
          <w:szCs w:val="20"/>
          <w:lang w:eastAsia="en-US"/>
        </w:rPr>
        <w:t>).</w:t>
      </w:r>
      <w:r>
        <w:rPr>
          <w:rFonts w:eastAsia="Times New Roman" w:cs="Times New Roman"/>
          <w:bCs w:val="0"/>
          <w:kern w:val="0"/>
          <w:sz w:val="20"/>
          <w:szCs w:val="20"/>
          <w:lang w:eastAsia="en-US"/>
        </w:rPr>
        <w:t xml:space="preserve"> </w:t>
      </w:r>
    </w:p>
  </w:footnote>
  <w:footnote w:id="106">
    <w:p w:rsidR="00B407C9" w:rsidRPr="00A150FE" w:rsidP="00A163F0" w14:paraId="701988D0" w14:textId="77777777">
      <w:pPr>
        <w:autoSpaceDE w:val="0"/>
        <w:autoSpaceDN w:val="0"/>
        <w:adjustRightInd w:val="0"/>
        <w:spacing w:after="120"/>
        <w:rPr>
          <w:rFonts w:eastAsia="Times New Roman" w:cs="Times New Roman"/>
          <w:bCs w:val="0"/>
          <w:kern w:val="0"/>
          <w:sz w:val="20"/>
          <w:szCs w:val="20"/>
          <w:lang w:eastAsia="en-US"/>
        </w:rPr>
      </w:pPr>
      <w:r w:rsidRPr="00A150FE">
        <w:rPr>
          <w:rStyle w:val="FootnoteReference"/>
          <w:sz w:val="20"/>
          <w:szCs w:val="20"/>
        </w:rPr>
        <w:footnoteRef/>
      </w:r>
      <w:r w:rsidRPr="00A150FE">
        <w:rPr>
          <w:sz w:val="20"/>
          <w:szCs w:val="20"/>
        </w:rPr>
        <w:t xml:space="preserve"> </w:t>
      </w:r>
      <w:r w:rsidRPr="00A150FE">
        <w:rPr>
          <w:rFonts w:eastAsia="Times New Roman" w:cs="Times New Roman"/>
          <w:bCs w:val="0"/>
          <w:i/>
          <w:iCs/>
          <w:kern w:val="0"/>
          <w:sz w:val="20"/>
          <w:szCs w:val="20"/>
          <w:lang w:eastAsia="en-US"/>
        </w:rPr>
        <w:t xml:space="preserve">See </w:t>
      </w:r>
      <w:r w:rsidRPr="00955439">
        <w:rPr>
          <w:rFonts w:eastAsia="Times New Roman" w:cs="Times New Roman"/>
          <w:bCs w:val="0"/>
          <w:i/>
          <w:kern w:val="0"/>
          <w:sz w:val="20"/>
          <w:szCs w:val="20"/>
          <w:lang w:eastAsia="en-US"/>
        </w:rPr>
        <w:t>Public Safety and Homeland Security Bureau Sets Timetable in Motion for Commercial Mobile Service Providers to Develop a System That Will Deliver Alerts to Mobile Devices</w:t>
      </w:r>
      <w:r w:rsidRPr="00A150FE">
        <w:rPr>
          <w:rFonts w:eastAsia="Times New Roman" w:cs="Times New Roman"/>
          <w:bCs w:val="0"/>
          <w:kern w:val="0"/>
          <w:sz w:val="20"/>
          <w:szCs w:val="20"/>
          <w:lang w:eastAsia="en-US"/>
        </w:rPr>
        <w:t xml:space="preserve">, PS Docket No. 07-287, </w:t>
      </w:r>
      <w:r w:rsidRPr="00955439">
        <w:rPr>
          <w:rFonts w:eastAsia="Times New Roman" w:cs="Times New Roman"/>
          <w:bCs w:val="0"/>
          <w:iCs/>
          <w:kern w:val="0"/>
          <w:sz w:val="20"/>
          <w:szCs w:val="20"/>
          <w:lang w:eastAsia="en-US"/>
        </w:rPr>
        <w:t>Public Notice</w:t>
      </w:r>
      <w:r w:rsidRPr="00955439">
        <w:rPr>
          <w:rFonts w:eastAsia="Times New Roman" w:cs="Times New Roman"/>
          <w:bCs w:val="0"/>
          <w:kern w:val="0"/>
          <w:sz w:val="20"/>
          <w:szCs w:val="20"/>
          <w:lang w:eastAsia="en-US"/>
        </w:rPr>
        <w:t>,</w:t>
      </w:r>
      <w:r w:rsidRPr="00A150FE">
        <w:rPr>
          <w:rFonts w:eastAsia="Times New Roman" w:cs="Times New Roman"/>
          <w:bCs w:val="0"/>
          <w:kern w:val="0"/>
          <w:sz w:val="20"/>
          <w:szCs w:val="20"/>
          <w:lang w:eastAsia="en-US"/>
        </w:rPr>
        <w:t xml:space="preserve"> 24 FCC </w:t>
      </w:r>
      <w:r w:rsidRPr="00A150FE">
        <w:rPr>
          <w:rFonts w:eastAsia="Times New Roman" w:cs="Times New Roman"/>
          <w:bCs w:val="0"/>
          <w:kern w:val="0"/>
          <w:sz w:val="20"/>
          <w:szCs w:val="20"/>
          <w:lang w:eastAsia="en-US"/>
        </w:rPr>
        <w:t>Rcd</w:t>
      </w:r>
      <w:r w:rsidRPr="00A150FE">
        <w:rPr>
          <w:rFonts w:eastAsia="Times New Roman" w:cs="Times New Roman"/>
          <w:bCs w:val="0"/>
          <w:kern w:val="0"/>
          <w:sz w:val="20"/>
          <w:szCs w:val="20"/>
          <w:lang w:eastAsia="en-US"/>
        </w:rPr>
        <w:t xml:space="preserve"> 14388 (PSHSB 2009).</w:t>
      </w:r>
    </w:p>
  </w:footnote>
  <w:footnote w:id="107">
    <w:p w:rsidR="00B407C9" w:rsidRPr="00FF3ED0" w:rsidP="00F27A28" w14:paraId="1EA28143" w14:textId="77777777">
      <w:pPr>
        <w:pStyle w:val="FootnoteText"/>
      </w:pPr>
      <w:r w:rsidRPr="00FF3ED0">
        <w:rPr>
          <w:rStyle w:val="FootnoteReference"/>
          <w:rFonts w:eastAsia="MS Mincho"/>
          <w:sz w:val="20"/>
        </w:rPr>
        <w:footnoteRef/>
      </w:r>
      <w:r w:rsidRPr="00FF3ED0">
        <w:t xml:space="preserve"> </w:t>
      </w:r>
      <w:r w:rsidRPr="00FF3ED0">
        <w:rPr>
          <w:i/>
        </w:rPr>
        <w:t>See</w:t>
      </w:r>
      <w:r w:rsidRPr="00FF3ED0">
        <w:t xml:space="preserve">, </w:t>
      </w:r>
      <w:r w:rsidRPr="00FF3ED0">
        <w:rPr>
          <w:i/>
        </w:rPr>
        <w:t>e.g.</w:t>
      </w:r>
      <w:r w:rsidRPr="00FF3ED0">
        <w:t>,</w:t>
      </w:r>
      <w:r w:rsidRPr="00FF3ED0">
        <w:rPr>
          <w:i/>
        </w:rPr>
        <w:t xml:space="preserve"> </w:t>
      </w:r>
      <w:r w:rsidRPr="00FF3ED0">
        <w:t>47 CFR § 10.450 (geo-targeting); §</w:t>
      </w:r>
      <w:r>
        <w:t xml:space="preserve"> </w:t>
      </w:r>
      <w:r w:rsidRPr="00FF3ED0">
        <w:t>10.430 (character limit); § 10.400 (classification).</w:t>
      </w:r>
    </w:p>
  </w:footnote>
  <w:footnote w:id="108">
    <w:p w:rsidR="00B407C9" w:rsidRPr="00FF3ED0" w:rsidP="00F27A28" w14:paraId="5B4597D1" w14:textId="77777777">
      <w:pPr>
        <w:pStyle w:val="FootnoteText"/>
      </w:pPr>
      <w:r w:rsidRPr="00FF3ED0">
        <w:rPr>
          <w:rStyle w:val="FootnoteReference"/>
          <w:rFonts w:eastAsia="MS Mincho"/>
          <w:sz w:val="20"/>
        </w:rPr>
        <w:footnoteRef/>
      </w:r>
      <w:r w:rsidRPr="00FF3ED0">
        <w:t xml:space="preserve"> </w:t>
      </w:r>
      <w:r w:rsidRPr="00FF3ED0">
        <w:rPr>
          <w:i/>
        </w:rPr>
        <w:t>See infra</w:t>
      </w:r>
      <w:r w:rsidRPr="00FF3ED0">
        <w:t xml:space="preserve"> </w:t>
      </w:r>
      <w:r w:rsidRPr="00FF3ED0">
        <w:rPr>
          <w:i/>
        </w:rPr>
        <w:t xml:space="preserve">Figure </w:t>
      </w:r>
      <w:r>
        <w:rPr>
          <w:i/>
        </w:rPr>
        <w:t>1</w:t>
      </w:r>
      <w:r w:rsidRPr="00FF3ED0">
        <w:rPr>
          <w:i/>
        </w:rPr>
        <w:t xml:space="preserve"> </w:t>
      </w:r>
      <w:r w:rsidRPr="00FF3ED0">
        <w:t>(WEA Architecture)</w:t>
      </w:r>
      <w:r w:rsidRPr="00FF3ED0">
        <w:rPr>
          <w:i/>
        </w:rPr>
        <w:t>.</w:t>
      </w:r>
      <w:r w:rsidRPr="00FF3ED0">
        <w:t xml:space="preserve">  CAP is an open, interoperable, XML-based standard that can include multimedia such as streaming audio or video.</w:t>
      </w:r>
      <w:r w:rsidRPr="00FF3ED0">
        <w:rPr>
          <w:snapToGrid w:val="0"/>
          <w:kern w:val="28"/>
        </w:rPr>
        <w:t xml:space="preserve">  </w:t>
      </w:r>
      <w:r w:rsidRPr="00FF3ED0">
        <w:rPr>
          <w:i/>
          <w:snapToGrid w:val="0"/>
          <w:kern w:val="28"/>
        </w:rPr>
        <w:t xml:space="preserve">See </w:t>
      </w:r>
      <w:r w:rsidRPr="00FF3ED0">
        <w:t xml:space="preserve">OASIS CAP v1.2 (IPAWS Profile for the OASIS Common Alerting Protocol IPAWS USA).  CAP messages contain standardized fields that facilitate interoperability between and among devices.  </w:t>
      </w:r>
      <w:r w:rsidRPr="00FF3ED0">
        <w:rPr>
          <w:i/>
        </w:rPr>
        <w:t>See id.</w:t>
      </w:r>
    </w:p>
  </w:footnote>
  <w:footnote w:id="109">
    <w:p w:rsidR="00B407C9" w:rsidRPr="00FF3ED0" w:rsidP="00F27A28" w14:paraId="17DE1AC6" w14:textId="77777777">
      <w:pPr>
        <w:pStyle w:val="FootnoteText"/>
      </w:pPr>
      <w:r w:rsidRPr="00FF3ED0">
        <w:rPr>
          <w:rStyle w:val="FootnoteReference"/>
          <w:rFonts w:eastAsia="MS Mincho"/>
          <w:sz w:val="20"/>
        </w:rPr>
        <w:footnoteRef/>
      </w:r>
      <w:r w:rsidRPr="00FF3ED0">
        <w:t xml:space="preserve"> From a technical standpoint, the WEA system currently deployed by FEMA and Participating CMS Providers is based on standards created by the Alliance for Telecommunications Industry Solutions (ATIS), the Telecommunications Industry Association (TIA) (jointly, ATIS/TIA), and the 3rd Generation Partnership Project (3GPP).  </w:t>
      </w:r>
      <w:r w:rsidRPr="00FF3ED0">
        <w:rPr>
          <w:i/>
        </w:rPr>
        <w:t>See CSRIC IV WEA Messaging Report</w:t>
      </w:r>
      <w:r w:rsidRPr="00FF3ED0">
        <w:t xml:space="preserve"> at 7.  We note that nothing in the WARN Act or the Commission’s rules requires WEA to be a cell-broadcast-based service.</w:t>
      </w:r>
    </w:p>
  </w:footnote>
  <w:footnote w:id="110">
    <w:p w:rsidR="00B407C9" w:rsidRPr="00FF3ED0" w:rsidP="00F27A28" w14:paraId="3EB5DC58" w14:textId="77777777">
      <w:pPr>
        <w:autoSpaceDE w:val="0"/>
        <w:autoSpaceDN w:val="0"/>
        <w:adjustRightInd w:val="0"/>
        <w:spacing w:after="120"/>
        <w:rPr>
          <w:rFonts w:eastAsia="Times New Roman" w:cs="Times New Roman"/>
          <w:bCs w:val="0"/>
          <w:kern w:val="0"/>
          <w:sz w:val="20"/>
          <w:szCs w:val="20"/>
          <w:lang w:eastAsia="en-US"/>
        </w:rPr>
      </w:pPr>
      <w:r w:rsidRPr="00FF3ED0">
        <w:rPr>
          <w:rStyle w:val="FootnoteReference"/>
          <w:sz w:val="20"/>
          <w:szCs w:val="20"/>
        </w:rPr>
        <w:footnoteRef/>
      </w:r>
      <w:r w:rsidRPr="00FF3ED0">
        <w:rPr>
          <w:sz w:val="20"/>
          <w:szCs w:val="20"/>
        </w:rPr>
        <w:t xml:space="preserve"> </w:t>
      </w:r>
      <w:r w:rsidRPr="00FF3ED0">
        <w:rPr>
          <w:rFonts w:eastAsia="Times New Roman" w:cs="Times New Roman"/>
          <w:bCs w:val="0"/>
          <w:i/>
          <w:iCs/>
          <w:kern w:val="0"/>
          <w:sz w:val="20"/>
          <w:szCs w:val="20"/>
          <w:lang w:eastAsia="en-US"/>
        </w:rPr>
        <w:t xml:space="preserve">See </w:t>
      </w:r>
      <w:r w:rsidRPr="00FF3ED0">
        <w:rPr>
          <w:rFonts w:eastAsia="Times New Roman" w:cs="Times New Roman"/>
          <w:bCs w:val="0"/>
          <w:kern w:val="0"/>
          <w:sz w:val="20"/>
          <w:szCs w:val="20"/>
          <w:lang w:eastAsia="en-US"/>
        </w:rPr>
        <w:t>CSRIC V, Working Group Two, Wireless Emergency Alerts – Recommendations to Improve Geo-targeting</w:t>
      </w:r>
      <w:r>
        <w:rPr>
          <w:rFonts w:eastAsia="Times New Roman" w:cs="Times New Roman"/>
          <w:bCs w:val="0"/>
          <w:kern w:val="0"/>
          <w:sz w:val="20"/>
          <w:szCs w:val="20"/>
          <w:lang w:eastAsia="en-US"/>
        </w:rPr>
        <w:t xml:space="preserve"> </w:t>
      </w:r>
      <w:r w:rsidRPr="00FF3ED0">
        <w:rPr>
          <w:rFonts w:eastAsia="Times New Roman" w:cs="Times New Roman"/>
          <w:bCs w:val="0"/>
          <w:kern w:val="0"/>
          <w:sz w:val="20"/>
          <w:szCs w:val="20"/>
          <w:lang w:eastAsia="en-US"/>
        </w:rPr>
        <w:t xml:space="preserve">and Offer Many-to-One Capabilities, Final Report and Recommendations 8 (2016); </w:t>
      </w:r>
      <w:r w:rsidRPr="00FF3ED0">
        <w:rPr>
          <w:rFonts w:eastAsia="Times New Roman" w:cs="Times New Roman"/>
          <w:bCs w:val="0"/>
          <w:i/>
          <w:iCs/>
          <w:kern w:val="0"/>
          <w:sz w:val="20"/>
          <w:szCs w:val="20"/>
          <w:lang w:eastAsia="en-US"/>
        </w:rPr>
        <w:t xml:space="preserve">but see </w:t>
      </w:r>
      <w:r w:rsidRPr="00FF3ED0">
        <w:rPr>
          <w:rFonts w:eastAsia="Times New Roman" w:cs="Times New Roman"/>
          <w:bCs w:val="0"/>
          <w:kern w:val="0"/>
          <w:sz w:val="20"/>
          <w:szCs w:val="20"/>
          <w:lang w:eastAsia="en-US"/>
        </w:rPr>
        <w:t xml:space="preserve">Letter from Rebecca Murphy Thompson, EVP and General Counsel, Competitive Carriers Association, to Marlene Dortch, Secretary, FCC, PS Docket No. 15-91, at 2 (filed Oct. 10, 2017) (stating that some </w:t>
      </w:r>
      <w:r w:rsidRPr="00FF3ED0">
        <w:rPr>
          <w:bCs w:val="0"/>
          <w:sz w:val="20"/>
          <w:szCs w:val="20"/>
        </w:rPr>
        <w:t xml:space="preserve">carriers offer WEA using a software application, rather than cell broadcast).  </w:t>
      </w:r>
    </w:p>
  </w:footnote>
  <w:footnote w:id="111">
    <w:p w:rsidR="00B407C9" w:rsidRPr="00FF3ED0" w:rsidP="00F27A28" w14:paraId="61D30192" w14:textId="45910CC5">
      <w:pPr>
        <w:autoSpaceDE w:val="0"/>
        <w:autoSpaceDN w:val="0"/>
        <w:adjustRightInd w:val="0"/>
        <w:spacing w:after="120"/>
        <w:rPr>
          <w:rFonts w:eastAsia="Times New Roman" w:cs="Times New Roman"/>
          <w:bCs w:val="0"/>
          <w:kern w:val="0"/>
          <w:sz w:val="20"/>
          <w:szCs w:val="20"/>
          <w:lang w:eastAsia="en-US"/>
        </w:rPr>
      </w:pPr>
      <w:r w:rsidRPr="00FF3ED0">
        <w:rPr>
          <w:rStyle w:val="FootnoteReference"/>
          <w:sz w:val="20"/>
          <w:szCs w:val="20"/>
        </w:rPr>
        <w:footnoteRef/>
      </w:r>
      <w:r w:rsidRPr="00FF3ED0">
        <w:rPr>
          <w:sz w:val="20"/>
          <w:szCs w:val="20"/>
        </w:rPr>
        <w:t xml:space="preserve"> </w:t>
      </w:r>
      <w:r w:rsidRPr="00FF3ED0">
        <w:rPr>
          <w:rFonts w:eastAsia="Times New Roman" w:cs="Times New Roman"/>
          <w:bCs w:val="0"/>
          <w:i/>
          <w:iCs/>
          <w:kern w:val="0"/>
          <w:sz w:val="20"/>
          <w:szCs w:val="20"/>
          <w:lang w:eastAsia="en-US"/>
        </w:rPr>
        <w:t xml:space="preserve">See </w:t>
      </w:r>
      <w:r w:rsidRPr="00FF3ED0">
        <w:rPr>
          <w:rFonts w:eastAsia="Times New Roman" w:cs="Times New Roman"/>
          <w:bCs w:val="0"/>
          <w:kern w:val="0"/>
          <w:sz w:val="20"/>
          <w:szCs w:val="20"/>
          <w:lang w:eastAsia="en-US"/>
        </w:rPr>
        <w:t xml:space="preserve">Joint ATIS/TIA CMAS Mobile Device Behavior Specification (ATIS-TIA-J-STD-100). </w:t>
      </w:r>
      <w:r w:rsidR="00703FE6">
        <w:rPr>
          <w:rFonts w:eastAsia="Times New Roman" w:cs="Times New Roman"/>
          <w:bCs w:val="0"/>
          <w:kern w:val="0"/>
          <w:sz w:val="20"/>
          <w:szCs w:val="20"/>
          <w:lang w:eastAsia="en-US"/>
        </w:rPr>
        <w:t xml:space="preserve"> </w:t>
      </w:r>
      <w:r w:rsidRPr="00FF3ED0">
        <w:rPr>
          <w:rFonts w:eastAsia="Times New Roman" w:cs="Times New Roman"/>
          <w:bCs w:val="0"/>
          <w:kern w:val="0"/>
          <w:sz w:val="20"/>
          <w:szCs w:val="20"/>
          <w:lang w:eastAsia="en-US"/>
        </w:rPr>
        <w:t>Subscribers’ right to</w:t>
      </w:r>
      <w:r>
        <w:rPr>
          <w:rFonts w:eastAsia="Times New Roman" w:cs="Times New Roman"/>
          <w:bCs w:val="0"/>
          <w:kern w:val="0"/>
          <w:sz w:val="20"/>
          <w:szCs w:val="20"/>
          <w:lang w:eastAsia="en-US"/>
        </w:rPr>
        <w:t xml:space="preserve"> </w:t>
      </w:r>
      <w:r w:rsidRPr="00FF3ED0">
        <w:rPr>
          <w:bCs w:val="0"/>
          <w:sz w:val="20"/>
          <w:szCs w:val="20"/>
        </w:rPr>
        <w:t>opt out of WEA Alert Message receipt extends to all but the Presidential Alert.</w:t>
      </w:r>
      <w:r>
        <w:rPr>
          <w:bCs w:val="0"/>
          <w:sz w:val="20"/>
          <w:szCs w:val="20"/>
        </w:rPr>
        <w:t xml:space="preserve"> </w:t>
      </w:r>
      <w:r w:rsidRPr="00FF3ED0">
        <w:rPr>
          <w:bCs w:val="0"/>
          <w:sz w:val="20"/>
          <w:szCs w:val="20"/>
        </w:rPr>
        <w:t xml:space="preserve"> </w:t>
      </w:r>
      <w:r w:rsidRPr="00FF3ED0">
        <w:rPr>
          <w:bCs w:val="0"/>
          <w:i/>
          <w:iCs/>
          <w:sz w:val="20"/>
          <w:szCs w:val="20"/>
        </w:rPr>
        <w:t xml:space="preserve">See </w:t>
      </w:r>
      <w:r w:rsidRPr="00FF3ED0">
        <w:rPr>
          <w:bCs w:val="0"/>
          <w:sz w:val="20"/>
          <w:szCs w:val="20"/>
        </w:rPr>
        <w:t xml:space="preserve">47 CFR § 10.280.  </w:t>
      </w:r>
    </w:p>
  </w:footnote>
  <w:footnote w:id="112">
    <w:p w:rsidR="00B407C9" w:rsidRPr="00FF3ED0" w:rsidP="00FF3ED0" w14:paraId="76F02390" w14:textId="4F4C5467">
      <w:pPr>
        <w:pStyle w:val="FootnoteText"/>
      </w:pPr>
      <w:r w:rsidRPr="00FF3ED0">
        <w:rPr>
          <w:rStyle w:val="FootnoteReference"/>
          <w:sz w:val="20"/>
        </w:rPr>
        <w:footnoteRef/>
      </w:r>
      <w:r w:rsidRPr="00FF3ED0">
        <w:t xml:space="preserve"> </w:t>
      </w:r>
      <w:r w:rsidRPr="00FF3ED0">
        <w:rPr>
          <w:i/>
        </w:rPr>
        <w:t xml:space="preserve">See, </w:t>
      </w:r>
      <w:r w:rsidRPr="00FF3ED0">
        <w:t xml:space="preserve">Review of the Emergency Alert System, </w:t>
      </w:r>
      <w:r w:rsidRPr="00FF3ED0">
        <w:rPr>
          <w:i/>
        </w:rPr>
        <w:t>Second Further Notice of Proposed Rulemaking</w:t>
      </w:r>
      <w:r w:rsidRPr="00FF3ED0">
        <w:t xml:space="preserve">, 25 FCC </w:t>
      </w:r>
      <w:r w:rsidRPr="00FF3ED0">
        <w:t>Rcd</w:t>
      </w:r>
      <w:r w:rsidRPr="00FF3ED0">
        <w:t xml:space="preserve"> 564, 565</w:t>
      </w:r>
      <w:r w:rsidR="00703FE6">
        <w:t>, para.</w:t>
      </w:r>
      <w:r w:rsidRPr="00FF3ED0">
        <w:t xml:space="preserve"> 2 (2010).</w:t>
      </w:r>
    </w:p>
  </w:footnote>
  <w:footnote w:id="113">
    <w:p w:rsidR="00B407C9" w:rsidRPr="00FF3ED0" w:rsidP="00FF3ED0" w14:paraId="7591503B" w14:textId="77777777">
      <w:pPr>
        <w:pStyle w:val="FootnoteText"/>
      </w:pPr>
      <w:r w:rsidRPr="00FF3ED0">
        <w:rPr>
          <w:rStyle w:val="FootnoteReference"/>
          <w:sz w:val="20"/>
        </w:rPr>
        <w:footnoteRef/>
      </w:r>
      <w:r w:rsidRPr="00FF3ED0">
        <w:t xml:space="preserve"> CONELRAD was not an alerting system </w:t>
      </w:r>
      <w:r w:rsidRPr="00FF3ED0">
        <w:rPr>
          <w:i/>
        </w:rPr>
        <w:t xml:space="preserve">per </w:t>
      </w:r>
      <w:r w:rsidRPr="00FF3ED0">
        <w:rPr>
          <w:i/>
        </w:rPr>
        <w:t>se</w:t>
      </w:r>
      <w:r w:rsidRPr="00FF3ED0">
        <w:t>, but</w:t>
      </w:r>
      <w:r w:rsidRPr="00FF3ED0">
        <w:t xml:space="preserve"> was rather a Cold War emergency system under which most radio and television transmission would be shut down in case of an enemy missile attack to prevent incoming missiles from homing in on broadcast transmissions.  The radio stations that </w:t>
      </w:r>
      <w:r w:rsidRPr="00FF3ED0">
        <w:t>were allowed to</w:t>
      </w:r>
      <w:r w:rsidRPr="00FF3ED0">
        <w:t xml:space="preserve"> remain on the air, the CONELRAD stations, would remain on the air to provide emergency information.  </w:t>
      </w:r>
      <w:r w:rsidRPr="00FF3ED0">
        <w:rPr>
          <w:i/>
        </w:rPr>
        <w:t>See</w:t>
      </w:r>
      <w:r w:rsidRPr="00FF3ED0">
        <w:t xml:space="preserve"> “Defense: Sign-off for CONELRAD,” </w:t>
      </w:r>
      <w:r w:rsidRPr="00FF3ED0">
        <w:rPr>
          <w:i/>
          <w:iCs/>
        </w:rPr>
        <w:t>Time Magazine</w:t>
      </w:r>
      <w:r w:rsidRPr="00FF3ED0">
        <w:t>, Friday, July 12, 1963.</w:t>
      </w:r>
    </w:p>
  </w:footnote>
  <w:footnote w:id="114">
    <w:p w:rsidR="00B407C9" w:rsidRPr="00FF3ED0" w:rsidP="00FF3ED0" w14:paraId="62BFF0A0" w14:textId="77777777">
      <w:pPr>
        <w:pStyle w:val="FootnoteText"/>
      </w:pPr>
      <w:r w:rsidRPr="00FF3ED0">
        <w:rPr>
          <w:rStyle w:val="FootnoteReference"/>
          <w:sz w:val="20"/>
        </w:rPr>
        <w:footnoteRef/>
      </w:r>
      <w:r w:rsidRPr="00FF3ED0">
        <w:t xml:space="preserve"> FEMA acts as Executive Agent for the development, operation, and maintenance of the national-level EAS.  </w:t>
      </w:r>
      <w:r w:rsidRPr="00FF3ED0">
        <w:rPr>
          <w:i/>
        </w:rPr>
        <w:t>See Memorandum</w:t>
      </w:r>
      <w:r w:rsidRPr="00FF3ED0">
        <w:t>, Presidential Communications with the General Public During Periods of National Emergency, The White House (September 15, 1995) (</w:t>
      </w:r>
      <w:r w:rsidRPr="00FF3ED0">
        <w:rPr>
          <w:i/>
        </w:rPr>
        <w:t>1995 Presidential Statement)</w:t>
      </w:r>
      <w:r w:rsidRPr="00FF3ED0">
        <w:t>.</w:t>
      </w:r>
    </w:p>
  </w:footnote>
  <w:footnote w:id="115">
    <w:p w:rsidR="00B407C9" w:rsidRPr="00FF3ED0" w:rsidP="00FF3ED0" w14:paraId="787F1A70" w14:textId="77777777">
      <w:pPr>
        <w:pStyle w:val="FootnoteText"/>
      </w:pPr>
      <w:r w:rsidRPr="00FF3ED0">
        <w:rPr>
          <w:rStyle w:val="FootnoteReference"/>
          <w:sz w:val="20"/>
        </w:rPr>
        <w:footnoteRef/>
      </w:r>
      <w:r w:rsidRPr="00FF3ED0">
        <w:t xml:space="preserve"> </w:t>
      </w:r>
      <w:r w:rsidRPr="00FF3ED0">
        <w:rPr>
          <w:i/>
        </w:rPr>
        <w:t>See</w:t>
      </w:r>
      <w:r w:rsidRPr="00FF3ED0">
        <w:t xml:space="preserve"> 1981 State and Local Emergency Broadcasting System (EBS) Memorandum of Understanding among the Federal Emergency Management Agency (FEMA), Federal Communications Commission (FCC), the National Oceanic and Atmospheric Administration (NOAA), and the National Industry Advisory Committee (NIAC), </w:t>
      </w:r>
      <w:r w:rsidRPr="00FF3ED0">
        <w:rPr>
          <w:i/>
        </w:rPr>
        <w:t xml:space="preserve">reprinted as </w:t>
      </w:r>
      <w:r w:rsidRPr="00FF3ED0">
        <w:t>Appendix K to Partnership for Public Warning Report 2004-1, The Emergency Alert System (EAS):  An Assessment.</w:t>
      </w:r>
    </w:p>
  </w:footnote>
  <w:footnote w:id="116">
    <w:p w:rsidR="00B407C9" w:rsidRPr="00FF3ED0" w:rsidP="00FF3ED0" w14:paraId="3F26459B" w14:textId="77777777">
      <w:pPr>
        <w:pStyle w:val="FootnoteText"/>
      </w:pPr>
      <w:r w:rsidRPr="00FF3ED0">
        <w:rPr>
          <w:rStyle w:val="FootnoteReference"/>
          <w:sz w:val="20"/>
        </w:rPr>
        <w:footnoteRef/>
      </w:r>
      <w:r w:rsidRPr="00FF3ED0">
        <w:t xml:space="preserve"> </w:t>
      </w:r>
      <w:r w:rsidRPr="00FF3ED0">
        <w:rPr>
          <w:i/>
        </w:rPr>
        <w:t>See</w:t>
      </w:r>
      <w:r w:rsidRPr="00FF3ED0">
        <w:t xml:space="preserve"> Assignment of National Security and Emergency Preparedness Telecommunications Function, Exec. Order No. 12472, 49 Fed. Reg. 13471 (1984).</w:t>
      </w:r>
    </w:p>
  </w:footnote>
  <w:footnote w:id="117">
    <w:p w:rsidR="00B407C9" w:rsidRPr="00FF3ED0" w:rsidP="00FF3ED0" w14:paraId="3A491C28" w14:textId="77777777">
      <w:pPr>
        <w:pStyle w:val="FootnoteText"/>
      </w:pPr>
      <w:r w:rsidRPr="00FF3ED0">
        <w:rPr>
          <w:rStyle w:val="FootnoteReference"/>
          <w:sz w:val="20"/>
        </w:rPr>
        <w:footnoteRef/>
      </w:r>
      <w:r w:rsidRPr="00FF3ED0">
        <w:t xml:space="preserve"> </w:t>
      </w:r>
      <w:r w:rsidRPr="00FF3ED0">
        <w:rPr>
          <w:i/>
        </w:rPr>
        <w:t>See 1995 Presidential Statement</w:t>
      </w:r>
      <w:r w:rsidRPr="00FF3ED0">
        <w:t>.</w:t>
      </w:r>
    </w:p>
  </w:footnote>
  <w:footnote w:id="118">
    <w:p w:rsidR="00B407C9" w:rsidRPr="00FF3ED0" w:rsidP="00FF3ED0" w14:paraId="21CA03FF" w14:textId="77777777">
      <w:pPr>
        <w:pStyle w:val="FootnoteText"/>
      </w:pPr>
      <w:r w:rsidRPr="00FF3ED0">
        <w:rPr>
          <w:rStyle w:val="FootnoteReference"/>
          <w:sz w:val="20"/>
        </w:rPr>
        <w:footnoteRef/>
      </w:r>
      <w:r w:rsidRPr="00FF3ED0">
        <w:t xml:space="preserve"> </w:t>
      </w:r>
      <w:r w:rsidRPr="00FF3ED0">
        <w:rPr>
          <w:i/>
        </w:rPr>
        <w:t>See Public Alert and Warning System, Exec. Order No. 13407,</w:t>
      </w:r>
      <w:r w:rsidRPr="00FF3ED0">
        <w:t xml:space="preserve"> 71 Fed. Reg. 36975 (June 26, 2006) (</w:t>
      </w:r>
      <w:r w:rsidRPr="00FF3ED0">
        <w:rPr>
          <w:i/>
        </w:rPr>
        <w:t>Executive Order</w:t>
      </w:r>
      <w:r w:rsidRPr="00FF3ED0">
        <w:t xml:space="preserve">).  </w:t>
      </w:r>
    </w:p>
  </w:footnote>
  <w:footnote w:id="119">
    <w:p w:rsidR="00B407C9" w:rsidRPr="00FF3ED0" w:rsidP="00FF3ED0" w14:paraId="5E0822D4" w14:textId="77777777">
      <w:pPr>
        <w:pStyle w:val="FootnoteText"/>
      </w:pPr>
      <w:r w:rsidRPr="00FF3ED0">
        <w:rPr>
          <w:rStyle w:val="FootnoteReference"/>
          <w:sz w:val="20"/>
        </w:rPr>
        <w:footnoteRef/>
      </w:r>
      <w:r w:rsidRPr="00FF3ED0">
        <w:t xml:space="preserve"> </w:t>
      </w:r>
      <w:r w:rsidRPr="00FF3ED0">
        <w:rPr>
          <w:i/>
        </w:rPr>
        <w:t>See</w:t>
      </w:r>
      <w:r w:rsidRPr="00FF3ED0">
        <w:t xml:space="preserve"> 47 CFR Part 11.</w:t>
      </w:r>
    </w:p>
  </w:footnote>
  <w:footnote w:id="120">
    <w:p w:rsidR="00B407C9" w:rsidRPr="00FF3ED0" w:rsidP="00FF3ED0" w14:paraId="792D0D02" w14:textId="3E4ECC49">
      <w:pPr>
        <w:pStyle w:val="FootnoteText"/>
      </w:pPr>
      <w:r w:rsidRPr="00FF3ED0">
        <w:rPr>
          <w:rStyle w:val="FootnoteReference"/>
          <w:sz w:val="20"/>
        </w:rPr>
        <w:footnoteRef/>
      </w:r>
      <w:r w:rsidRPr="00FF3ED0">
        <w:t xml:space="preserve"> </w:t>
      </w:r>
      <w:r w:rsidRPr="00FF3ED0">
        <w:rPr>
          <w:i/>
        </w:rPr>
        <w:t xml:space="preserve">See 2011 EAS Nationwide Test Report </w:t>
      </w:r>
      <w:r w:rsidRPr="00FF3ED0">
        <w:t>at 7</w:t>
      </w:r>
      <w:r w:rsidR="00703FE6">
        <w:t>,</w:t>
      </w:r>
      <w:r w:rsidRPr="00FF3ED0">
        <w:t xml:space="preserve"> n.13.</w:t>
      </w:r>
    </w:p>
  </w:footnote>
  <w:footnote w:id="121">
    <w:p w:rsidR="00B407C9" w:rsidRPr="00FF3ED0" w:rsidP="00FF3ED0" w14:paraId="5058F871" w14:textId="77777777">
      <w:pPr>
        <w:pStyle w:val="FootnoteText"/>
      </w:pPr>
      <w:r w:rsidRPr="00FF3ED0">
        <w:rPr>
          <w:rStyle w:val="FootnoteReference"/>
          <w:sz w:val="20"/>
        </w:rPr>
        <w:footnoteRef/>
      </w:r>
      <w:r w:rsidRPr="00FF3ED0">
        <w:t xml:space="preserve"> The EAN and other EAS codes are part of the </w:t>
      </w:r>
      <w:r w:rsidRPr="00FF3ED0">
        <w:rPr>
          <w:bCs/>
        </w:rPr>
        <w:t>Specific Area Message Encoding</w:t>
      </w:r>
      <w:r w:rsidRPr="00FF3ED0">
        <w:t xml:space="preserve"> (</w:t>
      </w:r>
      <w:r w:rsidRPr="00FF3ED0">
        <w:rPr>
          <w:bCs/>
        </w:rPr>
        <w:t>SAME</w:t>
      </w:r>
      <w:r w:rsidRPr="00FF3ED0">
        <w:t xml:space="preserve">) protocol used both for the EAS and NOAA weather radio.  </w:t>
      </w:r>
      <w:r w:rsidRPr="00FF3ED0">
        <w:rPr>
          <w:i/>
        </w:rPr>
        <w:t xml:space="preserve">See </w:t>
      </w:r>
      <w:r w:rsidRPr="00FF3ED0">
        <w:t xml:space="preserve">National Weather Service, “NOAA Weather Radio All Hazards,” </w:t>
      </w:r>
      <w:r w:rsidRPr="00FF3ED0">
        <w:rPr>
          <w:i/>
        </w:rPr>
        <w:t xml:space="preserve">available at </w:t>
      </w:r>
      <w:hyperlink r:id="rId20" w:history="1">
        <w:r w:rsidRPr="00FF3ED0">
          <w:rPr>
            <w:rStyle w:val="Hyperlink"/>
          </w:rPr>
          <w:t>http://www.nws.noaa.gov/nwr/same.htm</w:t>
        </w:r>
      </w:hyperlink>
      <w:r w:rsidRPr="00FF3ED0">
        <w:t>.</w:t>
      </w:r>
    </w:p>
  </w:footnote>
  <w:footnote w:id="122">
    <w:p w:rsidR="00B407C9" w:rsidRPr="00FF3ED0" w:rsidP="00FF3ED0" w14:paraId="003FE47E" w14:textId="66B27845">
      <w:pPr>
        <w:pStyle w:val="FootnoteText"/>
      </w:pPr>
      <w:r w:rsidRPr="00FF3ED0">
        <w:rPr>
          <w:rStyle w:val="FootnoteReference"/>
          <w:sz w:val="20"/>
        </w:rPr>
        <w:footnoteRef/>
      </w:r>
      <w:r w:rsidRPr="00FF3ED0">
        <w:t xml:space="preserve"> FEMA, Integrated Public Alert &amp; Warning System, </w:t>
      </w:r>
      <w:hyperlink r:id="rId21" w:history="1">
        <w:r w:rsidRPr="00D133D1" w:rsidR="00703FE6">
          <w:rPr>
            <w:rStyle w:val="Hyperlink"/>
          </w:rPr>
          <w:t>https://www.fema.gov/integrated-public-alert-warning-system</w:t>
        </w:r>
      </w:hyperlink>
      <w:r w:rsidR="00703FE6">
        <w:t xml:space="preserve"> </w:t>
      </w:r>
      <w:r w:rsidRPr="00FF3ED0">
        <w:t xml:space="preserve">(last visited Mar. </w:t>
      </w:r>
      <w:r>
        <w:t>8</w:t>
      </w:r>
      <w:r w:rsidRPr="00FF3ED0">
        <w:t>, 201</w:t>
      </w:r>
      <w:r>
        <w:t>9</w:t>
      </w:r>
      <w:r w:rsidRPr="00FF3ED0">
        <w:t xml:space="preserve">).  </w:t>
      </w:r>
    </w:p>
  </w:footnote>
  <w:footnote w:id="123">
    <w:p w:rsidR="00B407C9" w:rsidRPr="00FF3ED0" w:rsidP="00FF3ED0" w14:paraId="2E2D564B" w14:textId="77777777">
      <w:pPr>
        <w:pStyle w:val="FootnoteText"/>
      </w:pPr>
      <w:r w:rsidRPr="00FF3ED0">
        <w:rPr>
          <w:rStyle w:val="FootnoteReference"/>
          <w:sz w:val="20"/>
        </w:rPr>
        <w:footnoteRef/>
      </w:r>
      <w:r w:rsidRPr="00FF3ED0">
        <w:t xml:space="preserve"> </w:t>
      </w:r>
      <w:r w:rsidRPr="00FF3ED0">
        <w:rPr>
          <w:i/>
        </w:rPr>
        <w:t xml:space="preserve">See Review of the Emergency Alert System; Independent Spanish Broadcasters Association, the Office of Communication of the United Church of Christ, Inc., and the Minority Media and Telecommunications Council, Petition for Immediate Relief; Randy </w:t>
      </w:r>
      <w:r w:rsidRPr="00FF3ED0">
        <w:rPr>
          <w:i/>
        </w:rPr>
        <w:t>Gehman</w:t>
      </w:r>
      <w:r w:rsidRPr="00FF3ED0">
        <w:rPr>
          <w:i/>
        </w:rPr>
        <w:t xml:space="preserve"> Petition for Rulemaking</w:t>
      </w:r>
      <w:r w:rsidRPr="00FF3ED0">
        <w:t xml:space="preserve">, EB Docket 04-296, Fourth Report and Order, 26 FCC </w:t>
      </w:r>
      <w:r w:rsidRPr="00FF3ED0">
        <w:t>Rcd</w:t>
      </w:r>
      <w:r w:rsidRPr="00FF3ED0">
        <w:t xml:space="preserve"> 13710, 13719, para. 20 (2011) (</w:t>
      </w:r>
      <w:r w:rsidRPr="00FF3ED0">
        <w:rPr>
          <w:i/>
        </w:rPr>
        <w:t>Fourth Report and Order</w:t>
      </w:r>
      <w:r w:rsidRPr="00FF3ED0">
        <w:t>).  CAP is an open, interoperable standard developed by the Organization for the Advancement of Structure Information Standards (OASIS), and it incorporates an XML-based language developed and widely used for web documents.</w:t>
      </w:r>
      <w:r w:rsidRPr="00FF3ED0">
        <w:rPr>
          <w:i/>
        </w:rPr>
        <w:t xml:space="preserve">  See Review of the Emergency Alert System; Independent Spanish Broadcasters Association, the Office of Communication of the United Church of Christ, Inc., and the Minority Media and Telecommunications Council, Petition for Immediate Relief; Randy </w:t>
      </w:r>
      <w:r w:rsidRPr="00FF3ED0">
        <w:rPr>
          <w:i/>
        </w:rPr>
        <w:t>Gehman</w:t>
      </w:r>
      <w:r w:rsidRPr="00FF3ED0">
        <w:rPr>
          <w:i/>
        </w:rPr>
        <w:t xml:space="preserve"> Petition for Rulemaking</w:t>
      </w:r>
      <w:r w:rsidRPr="00FF3ED0">
        <w:t xml:space="preserve">, Fifth Report and Order, </w:t>
      </w:r>
      <w:r w:rsidRPr="00FF3ED0">
        <w:rPr>
          <w:iCs/>
        </w:rPr>
        <w:t xml:space="preserve">27 FCC </w:t>
      </w:r>
      <w:r w:rsidRPr="00FF3ED0">
        <w:rPr>
          <w:iCs/>
        </w:rPr>
        <w:t>Rcd</w:t>
      </w:r>
      <w:r w:rsidRPr="00FF3ED0">
        <w:rPr>
          <w:iCs/>
        </w:rPr>
        <w:t xml:space="preserve"> 642, </w:t>
      </w:r>
      <w:r w:rsidRPr="00FF3ED0">
        <w:t xml:space="preserve">648, para. 10 (2012), </w:t>
      </w:r>
      <w:r w:rsidRPr="00FF3ED0">
        <w:rPr>
          <w:i/>
        </w:rPr>
        <w:t>pet. denied in Multicultural Media, Telecom and Internet Council and the League of United Latin American Citizens, Petitioners, v. FCC,</w:t>
      </w:r>
      <w:r w:rsidRPr="00FF3ED0">
        <w:t xml:space="preserve"> D.C. Cir., 873 F3d 932 (Oct. 17, 2017).  CAP messages contain standardized fields that facilitate interoperability between and among </w:t>
      </w:r>
      <w:r w:rsidRPr="00FF3ED0">
        <w:t>devices, and</w:t>
      </w:r>
      <w:r w:rsidRPr="00FF3ED0">
        <w:t xml:space="preserve"> are backwards-compatible with the EAS Protocol.  </w:t>
      </w:r>
      <w:r w:rsidRPr="00FF3ED0">
        <w:rPr>
          <w:i/>
        </w:rPr>
        <w:t>See id.</w:t>
      </w:r>
    </w:p>
  </w:footnote>
  <w:footnote w:id="124">
    <w:p w:rsidR="00B407C9" w:rsidRPr="00FF3ED0" w:rsidP="00FF3ED0" w14:paraId="1C544EA5" w14:textId="77777777">
      <w:pPr>
        <w:pStyle w:val="FootnoteText"/>
      </w:pPr>
      <w:r w:rsidRPr="00FF3ED0">
        <w:rPr>
          <w:rStyle w:val="FootnoteReference"/>
          <w:sz w:val="20"/>
        </w:rPr>
        <w:footnoteRef/>
      </w:r>
      <w:r w:rsidRPr="00FF3ED0">
        <w:t xml:space="preserve"> </w:t>
      </w:r>
      <w:r w:rsidRPr="00FF3ED0">
        <w:rPr>
          <w:i/>
        </w:rPr>
        <w:t>See id.</w:t>
      </w:r>
      <w:r w:rsidRPr="00FF3ED0">
        <w:t xml:space="preserve">  However, any data contained in a CAP-formatted message beyond the EAS codes and audio message (if present), such as enhanced text or video files, can be utilized locally by the EAS Participant that receives it, but cannot be converted into the EAS Protocol and thus cannot be distributed via the daisy chain process, as reflected in the part 11 rules.  </w:t>
      </w:r>
      <w:r w:rsidRPr="00FF3ED0">
        <w:rPr>
          <w:i/>
        </w:rPr>
        <w:t>See, e.g</w:t>
      </w:r>
      <w:r w:rsidRPr="00FF3ED0">
        <w:t>., 47 CFR § 11.51(d), (g)(3), (h)(3), (j)(2).</w:t>
      </w:r>
    </w:p>
  </w:footnote>
  <w:footnote w:id="125">
    <w:p w:rsidR="00B407C9" w:rsidRPr="00FF3ED0" w:rsidP="00FF3ED0" w14:paraId="6959D82C" w14:textId="77777777">
      <w:pPr>
        <w:pStyle w:val="FootnoteText"/>
      </w:pPr>
      <w:r w:rsidRPr="00FF3ED0">
        <w:rPr>
          <w:rStyle w:val="FootnoteReference"/>
          <w:sz w:val="20"/>
        </w:rPr>
        <w:footnoteRef/>
      </w:r>
      <w:r w:rsidRPr="00FF3ED0">
        <w:t xml:space="preserve"> </w:t>
      </w:r>
      <w:r w:rsidRPr="00FF3ED0">
        <w:rPr>
          <w:i/>
        </w:rPr>
        <w:t xml:space="preserve">See </w:t>
      </w:r>
      <w:r w:rsidRPr="00FF3ED0">
        <w:t>47 CFR § 11.51(d), (g)(3), (j)(2).</w:t>
      </w:r>
    </w:p>
  </w:footnote>
  <w:footnote w:id="126">
    <w:p w:rsidR="00B407C9" w:rsidRPr="00FF3ED0" w:rsidP="00FF3ED0" w14:paraId="36C6EDB8" w14:textId="0BB3933B">
      <w:pPr>
        <w:pStyle w:val="FootnoteText"/>
      </w:pPr>
      <w:r w:rsidRPr="00FF3ED0">
        <w:rPr>
          <w:rStyle w:val="FootnoteReference"/>
          <w:sz w:val="20"/>
        </w:rPr>
        <w:footnoteRef/>
      </w:r>
      <w:r w:rsidRPr="00FF3ED0">
        <w:t xml:space="preserve"> </w:t>
      </w:r>
      <w:r w:rsidRPr="00FF3ED0">
        <w:rPr>
          <w:i/>
        </w:rPr>
        <w:t>See</w:t>
      </w:r>
      <w:r w:rsidRPr="00FF3ED0">
        <w:t xml:space="preserve"> </w:t>
      </w:r>
      <w:r w:rsidRPr="00FF3ED0">
        <w:rPr>
          <w:smallCaps/>
        </w:rPr>
        <w:t xml:space="preserve">OASIS, </w:t>
      </w:r>
      <w:r w:rsidRPr="00FF3ED0">
        <w:t>Common Alerting Protocol Version</w:t>
      </w:r>
      <w:r w:rsidRPr="00FF3ED0">
        <w:rPr>
          <w:smallCaps/>
        </w:rPr>
        <w:t xml:space="preserve"> 1.2 </w:t>
      </w:r>
      <w:r w:rsidRPr="00FF3ED0">
        <w:t xml:space="preserve">(2010), </w:t>
      </w:r>
      <w:r w:rsidRPr="00FF3ED0">
        <w:rPr>
          <w:i/>
        </w:rPr>
        <w:t xml:space="preserve">available at </w:t>
      </w:r>
      <w:hyperlink r:id="rId22" w:history="1">
        <w:r w:rsidRPr="00D133D1" w:rsidR="00703FE6">
          <w:rPr>
            <w:rStyle w:val="Hyperlink"/>
          </w:rPr>
          <w:t>http://docs.oasis-open.org/emergency/cap/v1.2/CAP-v1.2-os.html</w:t>
        </w:r>
      </w:hyperlink>
      <w:r w:rsidR="00703FE6">
        <w:t xml:space="preserve"> </w:t>
      </w:r>
      <w:r w:rsidRPr="00FF3ED0">
        <w:t xml:space="preserve">(last visited Mar. </w:t>
      </w:r>
      <w:r>
        <w:t>8</w:t>
      </w:r>
      <w:r w:rsidRPr="00FF3ED0">
        <w:t>, 201</w:t>
      </w:r>
      <w:r>
        <w:t>9</w:t>
      </w:r>
      <w:r w:rsidRPr="00FF3E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7C9" w14:paraId="45A4F7A5" w14:textId="77777777">
    <w:pPr>
      <w:pStyle w:val="Header"/>
      <w:pBdr>
        <w:bottom w:val="single" w:sz="12" w:space="1" w:color="auto"/>
      </w:pBdr>
      <w:rPr>
        <w:b w:val="0"/>
        <w:bCs w:val="0"/>
      </w:rPr>
    </w:pPr>
    <w:r>
      <w:tab/>
      <w:t>Federal Communications Commission</w:t>
    </w:r>
    <w:r>
      <w:tab/>
    </w:r>
  </w:p>
  <w:p w:rsidR="00B407C9" w14:paraId="64BD3CCC" w14:textId="77777777">
    <w:pPr>
      <w:tabs>
        <w:tab w:val="left" w:pos="-720"/>
      </w:tabs>
      <w:suppressAutoHyphens/>
      <w:spacing w:line="19" w:lineRule="exact"/>
      <w:rPr>
        <w:spacing w:val="-2"/>
      </w:rPr>
    </w:pPr>
    <w:r>
      <w:rPr>
        <w:noProof/>
        <w:lang w:eastAsia="en-US"/>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1905"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B407C9" w14:paraId="4AD23F5E" w14:textId="77777777">
    <w:pPr>
      <w:spacing w:after="389"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2E3058"/>
    <w:multiLevelType w:val="hybridMultilevel"/>
    <w:tmpl w:val="C3900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5B2157"/>
    <w:multiLevelType w:val="hybridMultilevel"/>
    <w:tmpl w:val="E6E695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3">
    <w:nsid w:val="27E06CBB"/>
    <w:multiLevelType w:val="multilevel"/>
    <w:tmpl w:val="33884E9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620"/>
        </w:tabs>
        <w:ind w:left="1620" w:hanging="720"/>
      </w:pPr>
      <w:rPr>
        <w:rFonts w:cs="Times New Roman"/>
        <w:b/>
      </w:rPr>
    </w:lvl>
    <w:lvl w:ilvl="2">
      <w:start w:val="1"/>
      <w:numFmt w:val="decimal"/>
      <w:pStyle w:val="Heading3"/>
      <w:lvlText w:val="%3."/>
      <w:lvlJc w:val="left"/>
      <w:pPr>
        <w:tabs>
          <w:tab w:val="num" w:pos="2160"/>
        </w:tabs>
        <w:ind w:left="2160" w:hanging="720"/>
      </w:pPr>
      <w:rPr>
        <w:rFonts w:cs="Times New Roman"/>
        <w:b/>
      </w:rPr>
    </w:lvl>
    <w:lvl w:ilvl="3">
      <w:start w:val="1"/>
      <w:numFmt w:val="lowerLetter"/>
      <w:pStyle w:val="Heading4"/>
      <w:lvlText w:val="%4."/>
      <w:lvlJc w:val="left"/>
      <w:pPr>
        <w:tabs>
          <w:tab w:val="num" w:pos="2880"/>
        </w:tabs>
        <w:ind w:left="2880" w:hanging="720"/>
      </w:pPr>
      <w:rPr>
        <w:rFonts w:cs="Times New Roman"/>
        <w:b/>
      </w:rPr>
    </w:lvl>
    <w:lvl w:ilvl="4">
      <w:start w:val="1"/>
      <w:numFmt w:val="lowerRoman"/>
      <w:pStyle w:val="Heading5"/>
      <w:lvlText w:val="(%5)"/>
      <w:lvlJc w:val="left"/>
      <w:pPr>
        <w:tabs>
          <w:tab w:val="num" w:pos="3600"/>
        </w:tabs>
        <w:ind w:left="3600" w:hanging="720"/>
      </w:pPr>
      <w:rPr>
        <w:rFonts w:cs="Times New Roman"/>
      </w:rPr>
    </w:lvl>
    <w:lvl w:ilvl="5">
      <w:start w:val="1"/>
      <w:numFmt w:val="lowerLetter"/>
      <w:pStyle w:val="Heading6"/>
      <w:lvlText w:val="(%6)"/>
      <w:lvlJc w:val="left"/>
      <w:pPr>
        <w:tabs>
          <w:tab w:val="num" w:pos="4320"/>
        </w:tabs>
        <w:ind w:left="4320" w:hanging="720"/>
      </w:pPr>
      <w:rPr>
        <w:rFonts w:cs="Times New Roman"/>
      </w:rPr>
    </w:lvl>
    <w:lvl w:ilvl="6">
      <w:start w:val="1"/>
      <w:numFmt w:val="low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4">
    <w:nsid w:val="30D10221"/>
    <w:multiLevelType w:val="hybridMultilevel"/>
    <w:tmpl w:val="CDD27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F1367B"/>
    <w:multiLevelType w:val="hybridMultilevel"/>
    <w:tmpl w:val="0BA2B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CE2814"/>
    <w:multiLevelType w:val="hybridMultilevel"/>
    <w:tmpl w:val="8A684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FF0378"/>
    <w:multiLevelType w:val="hybridMultilevel"/>
    <w:tmpl w:val="6C5689A2"/>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8">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9">
    <w:nsid w:val="6BBE3295"/>
    <w:multiLevelType w:val="hybridMultilevel"/>
    <w:tmpl w:val="66E27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C2631A8"/>
    <w:multiLevelType w:val="hybridMultilevel"/>
    <w:tmpl w:val="56D83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4333C5"/>
    <w:multiLevelType w:val="hybridMultilevel"/>
    <w:tmpl w:val="B3069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10"/>
  </w:num>
  <w:num w:numId="6">
    <w:abstractNumId w:val="0"/>
  </w:num>
  <w:num w:numId="7">
    <w:abstractNumId w:val="9"/>
  </w:num>
  <w:num w:numId="8">
    <w:abstractNumId w:val="3"/>
    <w:lvlOverride w:ilvl="0">
      <w:startOverride w:val="9"/>
    </w:lvlOverride>
  </w:num>
  <w:num w:numId="9">
    <w:abstractNumId w:val="3"/>
  </w:num>
  <w:num w:numId="10">
    <w:abstractNumId w:val="6"/>
  </w:num>
  <w:num w:numId="11">
    <w:abstractNumId w:val="1"/>
  </w:num>
  <w:num w:numId="12">
    <w:abstractNumId w:val="5"/>
  </w:num>
  <w:num w:numId="13">
    <w:abstractNumId w:val="4"/>
  </w:num>
  <w:num w:numId="14">
    <w:abstractNumId w:val="4"/>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28"/>
    <w:rsid w:val="00000492"/>
    <w:rsid w:val="0000077A"/>
    <w:rsid w:val="0000345C"/>
    <w:rsid w:val="0000377B"/>
    <w:rsid w:val="00003FE4"/>
    <w:rsid w:val="000046F3"/>
    <w:rsid w:val="00004CF3"/>
    <w:rsid w:val="00004D57"/>
    <w:rsid w:val="0000574F"/>
    <w:rsid w:val="000058EB"/>
    <w:rsid w:val="0000658D"/>
    <w:rsid w:val="00006677"/>
    <w:rsid w:val="00006A1D"/>
    <w:rsid w:val="00006DFD"/>
    <w:rsid w:val="000074CB"/>
    <w:rsid w:val="0000763B"/>
    <w:rsid w:val="000077AD"/>
    <w:rsid w:val="00010095"/>
    <w:rsid w:val="000105F3"/>
    <w:rsid w:val="000124C8"/>
    <w:rsid w:val="000124DF"/>
    <w:rsid w:val="00012B49"/>
    <w:rsid w:val="00013336"/>
    <w:rsid w:val="00013D2B"/>
    <w:rsid w:val="00014336"/>
    <w:rsid w:val="00014AE4"/>
    <w:rsid w:val="0001597D"/>
    <w:rsid w:val="00015B8D"/>
    <w:rsid w:val="00016A56"/>
    <w:rsid w:val="00017218"/>
    <w:rsid w:val="000172D1"/>
    <w:rsid w:val="0001742E"/>
    <w:rsid w:val="00017939"/>
    <w:rsid w:val="00020B08"/>
    <w:rsid w:val="00020B6A"/>
    <w:rsid w:val="00021945"/>
    <w:rsid w:val="00022218"/>
    <w:rsid w:val="000222EF"/>
    <w:rsid w:val="00022330"/>
    <w:rsid w:val="000225E7"/>
    <w:rsid w:val="00022656"/>
    <w:rsid w:val="00023184"/>
    <w:rsid w:val="00024B7B"/>
    <w:rsid w:val="00024E13"/>
    <w:rsid w:val="00025015"/>
    <w:rsid w:val="000253D4"/>
    <w:rsid w:val="00025CB6"/>
    <w:rsid w:val="000268EE"/>
    <w:rsid w:val="00026FE5"/>
    <w:rsid w:val="0002707A"/>
    <w:rsid w:val="00030930"/>
    <w:rsid w:val="00030A9F"/>
    <w:rsid w:val="00030DE6"/>
    <w:rsid w:val="00031382"/>
    <w:rsid w:val="00031C58"/>
    <w:rsid w:val="00032F32"/>
    <w:rsid w:val="00033051"/>
    <w:rsid w:val="000336EC"/>
    <w:rsid w:val="00035D2C"/>
    <w:rsid w:val="00036039"/>
    <w:rsid w:val="00036791"/>
    <w:rsid w:val="00036982"/>
    <w:rsid w:val="000372AC"/>
    <w:rsid w:val="00037875"/>
    <w:rsid w:val="00037F90"/>
    <w:rsid w:val="000401C6"/>
    <w:rsid w:val="0004032D"/>
    <w:rsid w:val="00040CCF"/>
    <w:rsid w:val="000416F8"/>
    <w:rsid w:val="000419E1"/>
    <w:rsid w:val="00041A4B"/>
    <w:rsid w:val="00041F88"/>
    <w:rsid w:val="0004203F"/>
    <w:rsid w:val="00042176"/>
    <w:rsid w:val="0004219B"/>
    <w:rsid w:val="0004254B"/>
    <w:rsid w:val="0004264C"/>
    <w:rsid w:val="00042820"/>
    <w:rsid w:val="000433C7"/>
    <w:rsid w:val="00044175"/>
    <w:rsid w:val="000442BB"/>
    <w:rsid w:val="000442F4"/>
    <w:rsid w:val="0004442D"/>
    <w:rsid w:val="00044624"/>
    <w:rsid w:val="00044A80"/>
    <w:rsid w:val="0004592E"/>
    <w:rsid w:val="000459EF"/>
    <w:rsid w:val="00045CC7"/>
    <w:rsid w:val="00046D14"/>
    <w:rsid w:val="000471BF"/>
    <w:rsid w:val="000472E2"/>
    <w:rsid w:val="000476ED"/>
    <w:rsid w:val="0005014A"/>
    <w:rsid w:val="00050415"/>
    <w:rsid w:val="00050421"/>
    <w:rsid w:val="000509D8"/>
    <w:rsid w:val="0005145B"/>
    <w:rsid w:val="000515AD"/>
    <w:rsid w:val="000517D9"/>
    <w:rsid w:val="00052A9A"/>
    <w:rsid w:val="0005335E"/>
    <w:rsid w:val="00053C65"/>
    <w:rsid w:val="00053F73"/>
    <w:rsid w:val="00053F82"/>
    <w:rsid w:val="00054A9C"/>
    <w:rsid w:val="00054B03"/>
    <w:rsid w:val="00054B12"/>
    <w:rsid w:val="00055055"/>
    <w:rsid w:val="00055078"/>
    <w:rsid w:val="00055710"/>
    <w:rsid w:val="00055954"/>
    <w:rsid w:val="00055E41"/>
    <w:rsid w:val="0005621D"/>
    <w:rsid w:val="0005666F"/>
    <w:rsid w:val="00056EFA"/>
    <w:rsid w:val="0005707E"/>
    <w:rsid w:val="00057CFA"/>
    <w:rsid w:val="000600F5"/>
    <w:rsid w:val="00060699"/>
    <w:rsid w:val="00060821"/>
    <w:rsid w:val="00060866"/>
    <w:rsid w:val="000609F7"/>
    <w:rsid w:val="00060B33"/>
    <w:rsid w:val="00061037"/>
    <w:rsid w:val="00061078"/>
    <w:rsid w:val="00061252"/>
    <w:rsid w:val="00062D9E"/>
    <w:rsid w:val="00063730"/>
    <w:rsid w:val="0006378C"/>
    <w:rsid w:val="00063C5B"/>
    <w:rsid w:val="00063CF7"/>
    <w:rsid w:val="00064272"/>
    <w:rsid w:val="00064910"/>
    <w:rsid w:val="00064C18"/>
    <w:rsid w:val="00066984"/>
    <w:rsid w:val="00070C32"/>
    <w:rsid w:val="00071179"/>
    <w:rsid w:val="00071D6C"/>
    <w:rsid w:val="00071DD5"/>
    <w:rsid w:val="00071F95"/>
    <w:rsid w:val="00072279"/>
    <w:rsid w:val="00072454"/>
    <w:rsid w:val="00072F6C"/>
    <w:rsid w:val="000730CA"/>
    <w:rsid w:val="00073580"/>
    <w:rsid w:val="00074117"/>
    <w:rsid w:val="00074248"/>
    <w:rsid w:val="0007552D"/>
    <w:rsid w:val="00075FAC"/>
    <w:rsid w:val="00076587"/>
    <w:rsid w:val="00076EA5"/>
    <w:rsid w:val="00076FE8"/>
    <w:rsid w:val="000770AC"/>
    <w:rsid w:val="000773B0"/>
    <w:rsid w:val="00077E63"/>
    <w:rsid w:val="00080126"/>
    <w:rsid w:val="00080AC4"/>
    <w:rsid w:val="00080CF2"/>
    <w:rsid w:val="00081B37"/>
    <w:rsid w:val="00081BDB"/>
    <w:rsid w:val="0008280A"/>
    <w:rsid w:val="00082DF9"/>
    <w:rsid w:val="00082FF8"/>
    <w:rsid w:val="000830D5"/>
    <w:rsid w:val="00083570"/>
    <w:rsid w:val="00083824"/>
    <w:rsid w:val="000840E8"/>
    <w:rsid w:val="000845A5"/>
    <w:rsid w:val="00084643"/>
    <w:rsid w:val="0008510A"/>
    <w:rsid w:val="00085542"/>
    <w:rsid w:val="000859D8"/>
    <w:rsid w:val="00085E98"/>
    <w:rsid w:val="00086E56"/>
    <w:rsid w:val="00087381"/>
    <w:rsid w:val="0008750C"/>
    <w:rsid w:val="000875BF"/>
    <w:rsid w:val="00087F17"/>
    <w:rsid w:val="00090BB7"/>
    <w:rsid w:val="00091115"/>
    <w:rsid w:val="00091162"/>
    <w:rsid w:val="000914D5"/>
    <w:rsid w:val="00091C06"/>
    <w:rsid w:val="00091DBB"/>
    <w:rsid w:val="000921B7"/>
    <w:rsid w:val="000924DF"/>
    <w:rsid w:val="00092534"/>
    <w:rsid w:val="00093846"/>
    <w:rsid w:val="00093C93"/>
    <w:rsid w:val="00094764"/>
    <w:rsid w:val="00095F77"/>
    <w:rsid w:val="0009608F"/>
    <w:rsid w:val="00096117"/>
    <w:rsid w:val="00096477"/>
    <w:rsid w:val="000968BE"/>
    <w:rsid w:val="00096D8C"/>
    <w:rsid w:val="000973CD"/>
    <w:rsid w:val="00097B0E"/>
    <w:rsid w:val="000A0F9B"/>
    <w:rsid w:val="000A12C5"/>
    <w:rsid w:val="000A173B"/>
    <w:rsid w:val="000A1FE3"/>
    <w:rsid w:val="000A22A4"/>
    <w:rsid w:val="000A24B2"/>
    <w:rsid w:val="000A275A"/>
    <w:rsid w:val="000A2EF4"/>
    <w:rsid w:val="000A347E"/>
    <w:rsid w:val="000A3C3B"/>
    <w:rsid w:val="000A3DE2"/>
    <w:rsid w:val="000A467A"/>
    <w:rsid w:val="000A506F"/>
    <w:rsid w:val="000A55E0"/>
    <w:rsid w:val="000A5B47"/>
    <w:rsid w:val="000A5DD8"/>
    <w:rsid w:val="000A715B"/>
    <w:rsid w:val="000A72EE"/>
    <w:rsid w:val="000A76B5"/>
    <w:rsid w:val="000B00F8"/>
    <w:rsid w:val="000B0A6E"/>
    <w:rsid w:val="000B0B17"/>
    <w:rsid w:val="000B1AE7"/>
    <w:rsid w:val="000B1EB0"/>
    <w:rsid w:val="000B233B"/>
    <w:rsid w:val="000B2475"/>
    <w:rsid w:val="000B2477"/>
    <w:rsid w:val="000B247D"/>
    <w:rsid w:val="000B2890"/>
    <w:rsid w:val="000B2A2F"/>
    <w:rsid w:val="000B2CFF"/>
    <w:rsid w:val="000B2D43"/>
    <w:rsid w:val="000B30E6"/>
    <w:rsid w:val="000B38C2"/>
    <w:rsid w:val="000B4867"/>
    <w:rsid w:val="000B4A0D"/>
    <w:rsid w:val="000B4A37"/>
    <w:rsid w:val="000B4C9E"/>
    <w:rsid w:val="000B4E46"/>
    <w:rsid w:val="000B5728"/>
    <w:rsid w:val="000B59CD"/>
    <w:rsid w:val="000B5E80"/>
    <w:rsid w:val="000B60EB"/>
    <w:rsid w:val="000B7048"/>
    <w:rsid w:val="000B7076"/>
    <w:rsid w:val="000C0270"/>
    <w:rsid w:val="000C03C1"/>
    <w:rsid w:val="000C0545"/>
    <w:rsid w:val="000C06FC"/>
    <w:rsid w:val="000C07F9"/>
    <w:rsid w:val="000C0B65"/>
    <w:rsid w:val="000C0D61"/>
    <w:rsid w:val="000C0F08"/>
    <w:rsid w:val="000C23D0"/>
    <w:rsid w:val="000C3C77"/>
    <w:rsid w:val="000C5A2F"/>
    <w:rsid w:val="000C5E43"/>
    <w:rsid w:val="000C62E9"/>
    <w:rsid w:val="000C6596"/>
    <w:rsid w:val="000C6780"/>
    <w:rsid w:val="000C6AF6"/>
    <w:rsid w:val="000C74A8"/>
    <w:rsid w:val="000C779C"/>
    <w:rsid w:val="000C7908"/>
    <w:rsid w:val="000C7E57"/>
    <w:rsid w:val="000D032A"/>
    <w:rsid w:val="000D1195"/>
    <w:rsid w:val="000D14C3"/>
    <w:rsid w:val="000D1E0E"/>
    <w:rsid w:val="000D1E67"/>
    <w:rsid w:val="000D22C2"/>
    <w:rsid w:val="000D2BE3"/>
    <w:rsid w:val="000D4891"/>
    <w:rsid w:val="000D4B60"/>
    <w:rsid w:val="000D4E8F"/>
    <w:rsid w:val="000D54C4"/>
    <w:rsid w:val="000D5DD2"/>
    <w:rsid w:val="000D6C77"/>
    <w:rsid w:val="000D6CBF"/>
    <w:rsid w:val="000D73DB"/>
    <w:rsid w:val="000D7527"/>
    <w:rsid w:val="000D7B53"/>
    <w:rsid w:val="000E03E9"/>
    <w:rsid w:val="000E03F2"/>
    <w:rsid w:val="000E041E"/>
    <w:rsid w:val="000E1D0E"/>
    <w:rsid w:val="000E1F2F"/>
    <w:rsid w:val="000E1F74"/>
    <w:rsid w:val="000E232A"/>
    <w:rsid w:val="000E24AF"/>
    <w:rsid w:val="000E2539"/>
    <w:rsid w:val="000E2C02"/>
    <w:rsid w:val="000E3C14"/>
    <w:rsid w:val="000E3D42"/>
    <w:rsid w:val="000E4359"/>
    <w:rsid w:val="000E44C8"/>
    <w:rsid w:val="000E453B"/>
    <w:rsid w:val="000E48E4"/>
    <w:rsid w:val="000E4B38"/>
    <w:rsid w:val="000E568D"/>
    <w:rsid w:val="000E6A34"/>
    <w:rsid w:val="000E78D1"/>
    <w:rsid w:val="000E7B30"/>
    <w:rsid w:val="000F0849"/>
    <w:rsid w:val="000F0BDE"/>
    <w:rsid w:val="000F1664"/>
    <w:rsid w:val="000F1923"/>
    <w:rsid w:val="000F1CDE"/>
    <w:rsid w:val="000F2442"/>
    <w:rsid w:val="000F2D07"/>
    <w:rsid w:val="000F2E79"/>
    <w:rsid w:val="000F2F0D"/>
    <w:rsid w:val="000F380C"/>
    <w:rsid w:val="000F402C"/>
    <w:rsid w:val="000F40AD"/>
    <w:rsid w:val="000F4508"/>
    <w:rsid w:val="000F46D7"/>
    <w:rsid w:val="000F4A85"/>
    <w:rsid w:val="000F6495"/>
    <w:rsid w:val="000F6B51"/>
    <w:rsid w:val="000F771E"/>
    <w:rsid w:val="00100294"/>
    <w:rsid w:val="00100EFE"/>
    <w:rsid w:val="00101B49"/>
    <w:rsid w:val="00102634"/>
    <w:rsid w:val="00102671"/>
    <w:rsid w:val="00103249"/>
    <w:rsid w:val="00103F97"/>
    <w:rsid w:val="00104295"/>
    <w:rsid w:val="00104C92"/>
    <w:rsid w:val="00104C93"/>
    <w:rsid w:val="00105ED1"/>
    <w:rsid w:val="00106043"/>
    <w:rsid w:val="00106EEA"/>
    <w:rsid w:val="00106F49"/>
    <w:rsid w:val="00107029"/>
    <w:rsid w:val="001071CC"/>
    <w:rsid w:val="001074BC"/>
    <w:rsid w:val="001102DE"/>
    <w:rsid w:val="00110BB9"/>
    <w:rsid w:val="00110E90"/>
    <w:rsid w:val="00111F37"/>
    <w:rsid w:val="001121F7"/>
    <w:rsid w:val="0011220D"/>
    <w:rsid w:val="00112A39"/>
    <w:rsid w:val="00113029"/>
    <w:rsid w:val="0011318F"/>
    <w:rsid w:val="00113443"/>
    <w:rsid w:val="00113DC9"/>
    <w:rsid w:val="00113E6C"/>
    <w:rsid w:val="0011479E"/>
    <w:rsid w:val="00115ED4"/>
    <w:rsid w:val="00115EED"/>
    <w:rsid w:val="00116319"/>
    <w:rsid w:val="001165F5"/>
    <w:rsid w:val="00117178"/>
    <w:rsid w:val="001171B5"/>
    <w:rsid w:val="00117639"/>
    <w:rsid w:val="0011768F"/>
    <w:rsid w:val="001176DE"/>
    <w:rsid w:val="0011793B"/>
    <w:rsid w:val="00120168"/>
    <w:rsid w:val="001201D8"/>
    <w:rsid w:val="00120299"/>
    <w:rsid w:val="00120BF1"/>
    <w:rsid w:val="00120D35"/>
    <w:rsid w:val="001223AE"/>
    <w:rsid w:val="0012244C"/>
    <w:rsid w:val="00122BD5"/>
    <w:rsid w:val="00123034"/>
    <w:rsid w:val="0012362B"/>
    <w:rsid w:val="0012372A"/>
    <w:rsid w:val="00123C1F"/>
    <w:rsid w:val="00124443"/>
    <w:rsid w:val="00124BEE"/>
    <w:rsid w:val="0012541D"/>
    <w:rsid w:val="001258FC"/>
    <w:rsid w:val="00125DED"/>
    <w:rsid w:val="00126626"/>
    <w:rsid w:val="00126708"/>
    <w:rsid w:val="001272A5"/>
    <w:rsid w:val="001300E4"/>
    <w:rsid w:val="00130459"/>
    <w:rsid w:val="00130B33"/>
    <w:rsid w:val="00130FC5"/>
    <w:rsid w:val="00131143"/>
    <w:rsid w:val="001322FC"/>
    <w:rsid w:val="001325BF"/>
    <w:rsid w:val="00132733"/>
    <w:rsid w:val="00132B56"/>
    <w:rsid w:val="00132F78"/>
    <w:rsid w:val="001330FD"/>
    <w:rsid w:val="001341D1"/>
    <w:rsid w:val="0013488E"/>
    <w:rsid w:val="00135989"/>
    <w:rsid w:val="00135C9D"/>
    <w:rsid w:val="00135EA8"/>
    <w:rsid w:val="001369A9"/>
    <w:rsid w:val="00137173"/>
    <w:rsid w:val="0013749C"/>
    <w:rsid w:val="00137621"/>
    <w:rsid w:val="001407DF"/>
    <w:rsid w:val="00140E97"/>
    <w:rsid w:val="0014246E"/>
    <w:rsid w:val="00142EBC"/>
    <w:rsid w:val="00143310"/>
    <w:rsid w:val="0014360F"/>
    <w:rsid w:val="00144255"/>
    <w:rsid w:val="00144511"/>
    <w:rsid w:val="0014509A"/>
    <w:rsid w:val="00145C9C"/>
    <w:rsid w:val="00145E20"/>
    <w:rsid w:val="00150817"/>
    <w:rsid w:val="0015082B"/>
    <w:rsid w:val="00150B9E"/>
    <w:rsid w:val="00150E7F"/>
    <w:rsid w:val="00151D5C"/>
    <w:rsid w:val="00152846"/>
    <w:rsid w:val="00152FC2"/>
    <w:rsid w:val="0015306C"/>
    <w:rsid w:val="0015321F"/>
    <w:rsid w:val="0015338B"/>
    <w:rsid w:val="0015352C"/>
    <w:rsid w:val="001539C7"/>
    <w:rsid w:val="00153E38"/>
    <w:rsid w:val="0015419E"/>
    <w:rsid w:val="0015426C"/>
    <w:rsid w:val="001542B4"/>
    <w:rsid w:val="0015441F"/>
    <w:rsid w:val="00154532"/>
    <w:rsid w:val="00154CFF"/>
    <w:rsid w:val="001557F3"/>
    <w:rsid w:val="00156619"/>
    <w:rsid w:val="00156AB5"/>
    <w:rsid w:val="00156DE0"/>
    <w:rsid w:val="00156EEE"/>
    <w:rsid w:val="00156F44"/>
    <w:rsid w:val="0015738B"/>
    <w:rsid w:val="0015741B"/>
    <w:rsid w:val="00160258"/>
    <w:rsid w:val="0016063A"/>
    <w:rsid w:val="00160C2D"/>
    <w:rsid w:val="001619F8"/>
    <w:rsid w:val="00161A0A"/>
    <w:rsid w:val="00161C9A"/>
    <w:rsid w:val="00161CE8"/>
    <w:rsid w:val="001625DF"/>
    <w:rsid w:val="001627CC"/>
    <w:rsid w:val="00162FCA"/>
    <w:rsid w:val="0016384E"/>
    <w:rsid w:val="001644FE"/>
    <w:rsid w:val="001646BF"/>
    <w:rsid w:val="00164ED5"/>
    <w:rsid w:val="00164F4C"/>
    <w:rsid w:val="0016554C"/>
    <w:rsid w:val="001656FF"/>
    <w:rsid w:val="0016645A"/>
    <w:rsid w:val="00166FBA"/>
    <w:rsid w:val="0016733B"/>
    <w:rsid w:val="00167566"/>
    <w:rsid w:val="001677FF"/>
    <w:rsid w:val="00167967"/>
    <w:rsid w:val="00170C93"/>
    <w:rsid w:val="00171881"/>
    <w:rsid w:val="00171928"/>
    <w:rsid w:val="00172010"/>
    <w:rsid w:val="00173259"/>
    <w:rsid w:val="00173366"/>
    <w:rsid w:val="00173640"/>
    <w:rsid w:val="0017383A"/>
    <w:rsid w:val="0017411E"/>
    <w:rsid w:val="001745CE"/>
    <w:rsid w:val="00174897"/>
    <w:rsid w:val="0017508E"/>
    <w:rsid w:val="0017533A"/>
    <w:rsid w:val="0017533D"/>
    <w:rsid w:val="00175428"/>
    <w:rsid w:val="00175625"/>
    <w:rsid w:val="00175985"/>
    <w:rsid w:val="0017656A"/>
    <w:rsid w:val="00176BEE"/>
    <w:rsid w:val="00177403"/>
    <w:rsid w:val="0018032E"/>
    <w:rsid w:val="00180682"/>
    <w:rsid w:val="00181212"/>
    <w:rsid w:val="001814FB"/>
    <w:rsid w:val="00181610"/>
    <w:rsid w:val="001824F6"/>
    <w:rsid w:val="001825F5"/>
    <w:rsid w:val="0018295D"/>
    <w:rsid w:val="00182CBB"/>
    <w:rsid w:val="00182DEF"/>
    <w:rsid w:val="001831CC"/>
    <w:rsid w:val="00183994"/>
    <w:rsid w:val="00183AED"/>
    <w:rsid w:val="00183FD5"/>
    <w:rsid w:val="001841AE"/>
    <w:rsid w:val="001846F6"/>
    <w:rsid w:val="0018535C"/>
    <w:rsid w:val="001857B9"/>
    <w:rsid w:val="0018596C"/>
    <w:rsid w:val="00186B32"/>
    <w:rsid w:val="00186BFF"/>
    <w:rsid w:val="001871D1"/>
    <w:rsid w:val="001900DB"/>
    <w:rsid w:val="00190ABB"/>
    <w:rsid w:val="00191AE7"/>
    <w:rsid w:val="00192AD5"/>
    <w:rsid w:val="00192BF0"/>
    <w:rsid w:val="00192D00"/>
    <w:rsid w:val="00192DC3"/>
    <w:rsid w:val="001931A3"/>
    <w:rsid w:val="00193819"/>
    <w:rsid w:val="00194386"/>
    <w:rsid w:val="00194705"/>
    <w:rsid w:val="00194A14"/>
    <w:rsid w:val="00194AF5"/>
    <w:rsid w:val="00194EF8"/>
    <w:rsid w:val="00195382"/>
    <w:rsid w:val="00196052"/>
    <w:rsid w:val="001970C2"/>
    <w:rsid w:val="00197379"/>
    <w:rsid w:val="001974C5"/>
    <w:rsid w:val="00197624"/>
    <w:rsid w:val="00197E55"/>
    <w:rsid w:val="00197F21"/>
    <w:rsid w:val="001A03AE"/>
    <w:rsid w:val="001A042B"/>
    <w:rsid w:val="001A0A1E"/>
    <w:rsid w:val="001A0DBE"/>
    <w:rsid w:val="001A0DE7"/>
    <w:rsid w:val="001A153F"/>
    <w:rsid w:val="001A1642"/>
    <w:rsid w:val="001A209E"/>
    <w:rsid w:val="001A21DC"/>
    <w:rsid w:val="001A223D"/>
    <w:rsid w:val="001A2ED2"/>
    <w:rsid w:val="001A36F0"/>
    <w:rsid w:val="001A3A8D"/>
    <w:rsid w:val="001A3D2F"/>
    <w:rsid w:val="001A40DD"/>
    <w:rsid w:val="001A46B7"/>
    <w:rsid w:val="001A4A4A"/>
    <w:rsid w:val="001A53CD"/>
    <w:rsid w:val="001A56EE"/>
    <w:rsid w:val="001A6433"/>
    <w:rsid w:val="001A6530"/>
    <w:rsid w:val="001A686A"/>
    <w:rsid w:val="001A6888"/>
    <w:rsid w:val="001A6F76"/>
    <w:rsid w:val="001A79FF"/>
    <w:rsid w:val="001A7A7C"/>
    <w:rsid w:val="001B04B1"/>
    <w:rsid w:val="001B185D"/>
    <w:rsid w:val="001B1B01"/>
    <w:rsid w:val="001B1F83"/>
    <w:rsid w:val="001B33FD"/>
    <w:rsid w:val="001B36BB"/>
    <w:rsid w:val="001B3FDC"/>
    <w:rsid w:val="001B4BEB"/>
    <w:rsid w:val="001B5809"/>
    <w:rsid w:val="001B63D2"/>
    <w:rsid w:val="001B6BF4"/>
    <w:rsid w:val="001B6F62"/>
    <w:rsid w:val="001B6FFE"/>
    <w:rsid w:val="001B7394"/>
    <w:rsid w:val="001B783F"/>
    <w:rsid w:val="001C003B"/>
    <w:rsid w:val="001C0624"/>
    <w:rsid w:val="001C079A"/>
    <w:rsid w:val="001C090E"/>
    <w:rsid w:val="001C0D51"/>
    <w:rsid w:val="001C1712"/>
    <w:rsid w:val="001C1759"/>
    <w:rsid w:val="001C24CD"/>
    <w:rsid w:val="001C29AB"/>
    <w:rsid w:val="001C2A48"/>
    <w:rsid w:val="001C3EBB"/>
    <w:rsid w:val="001C4CC5"/>
    <w:rsid w:val="001C56B2"/>
    <w:rsid w:val="001C575D"/>
    <w:rsid w:val="001C57BD"/>
    <w:rsid w:val="001C5C2A"/>
    <w:rsid w:val="001C6377"/>
    <w:rsid w:val="001C6854"/>
    <w:rsid w:val="001C752A"/>
    <w:rsid w:val="001C762E"/>
    <w:rsid w:val="001C7805"/>
    <w:rsid w:val="001C781B"/>
    <w:rsid w:val="001D02C8"/>
    <w:rsid w:val="001D19D6"/>
    <w:rsid w:val="001D1A2B"/>
    <w:rsid w:val="001D1B97"/>
    <w:rsid w:val="001D218C"/>
    <w:rsid w:val="001D2F40"/>
    <w:rsid w:val="001D3751"/>
    <w:rsid w:val="001D4A15"/>
    <w:rsid w:val="001D4C4C"/>
    <w:rsid w:val="001D5485"/>
    <w:rsid w:val="001D593F"/>
    <w:rsid w:val="001D5E5E"/>
    <w:rsid w:val="001D6BCF"/>
    <w:rsid w:val="001D73D2"/>
    <w:rsid w:val="001D7A07"/>
    <w:rsid w:val="001E01CA"/>
    <w:rsid w:val="001E0F23"/>
    <w:rsid w:val="001E2677"/>
    <w:rsid w:val="001E306C"/>
    <w:rsid w:val="001E3C5B"/>
    <w:rsid w:val="001E488E"/>
    <w:rsid w:val="001E5042"/>
    <w:rsid w:val="001E55F7"/>
    <w:rsid w:val="001E67B8"/>
    <w:rsid w:val="001E7B6C"/>
    <w:rsid w:val="001E7BA6"/>
    <w:rsid w:val="001E7EA4"/>
    <w:rsid w:val="001F035C"/>
    <w:rsid w:val="001F11C6"/>
    <w:rsid w:val="001F1921"/>
    <w:rsid w:val="001F21EA"/>
    <w:rsid w:val="001F2701"/>
    <w:rsid w:val="001F372B"/>
    <w:rsid w:val="001F4E7B"/>
    <w:rsid w:val="001F5051"/>
    <w:rsid w:val="001F5715"/>
    <w:rsid w:val="001F59B8"/>
    <w:rsid w:val="001F6D79"/>
    <w:rsid w:val="00200295"/>
    <w:rsid w:val="0020076F"/>
    <w:rsid w:val="00201282"/>
    <w:rsid w:val="002014F9"/>
    <w:rsid w:val="00201978"/>
    <w:rsid w:val="00201B92"/>
    <w:rsid w:val="00201E35"/>
    <w:rsid w:val="00201F8D"/>
    <w:rsid w:val="00202217"/>
    <w:rsid w:val="00202586"/>
    <w:rsid w:val="00202F7B"/>
    <w:rsid w:val="00203AE2"/>
    <w:rsid w:val="0020452C"/>
    <w:rsid w:val="002048CC"/>
    <w:rsid w:val="00205A56"/>
    <w:rsid w:val="00205D37"/>
    <w:rsid w:val="00205E9C"/>
    <w:rsid w:val="00205ED4"/>
    <w:rsid w:val="00206069"/>
    <w:rsid w:val="00206B0D"/>
    <w:rsid w:val="00206D6A"/>
    <w:rsid w:val="00207117"/>
    <w:rsid w:val="00210AF1"/>
    <w:rsid w:val="002110A0"/>
    <w:rsid w:val="0021167A"/>
    <w:rsid w:val="002119CE"/>
    <w:rsid w:val="00212047"/>
    <w:rsid w:val="00212474"/>
    <w:rsid w:val="00212B81"/>
    <w:rsid w:val="00212FCD"/>
    <w:rsid w:val="00213B30"/>
    <w:rsid w:val="00215147"/>
    <w:rsid w:val="002158C3"/>
    <w:rsid w:val="00215974"/>
    <w:rsid w:val="00216A32"/>
    <w:rsid w:val="00216DB8"/>
    <w:rsid w:val="002209DF"/>
    <w:rsid w:val="00220E14"/>
    <w:rsid w:val="00220F10"/>
    <w:rsid w:val="00220FA5"/>
    <w:rsid w:val="002210C7"/>
    <w:rsid w:val="002211D1"/>
    <w:rsid w:val="00221546"/>
    <w:rsid w:val="002217B1"/>
    <w:rsid w:val="002220A5"/>
    <w:rsid w:val="00222CDD"/>
    <w:rsid w:val="00222D33"/>
    <w:rsid w:val="00223174"/>
    <w:rsid w:val="002232C1"/>
    <w:rsid w:val="002238A7"/>
    <w:rsid w:val="00223D05"/>
    <w:rsid w:val="002242D4"/>
    <w:rsid w:val="002243D4"/>
    <w:rsid w:val="0022494A"/>
    <w:rsid w:val="00224B6A"/>
    <w:rsid w:val="00224FF5"/>
    <w:rsid w:val="002258F9"/>
    <w:rsid w:val="0022632A"/>
    <w:rsid w:val="002265C3"/>
    <w:rsid w:val="0022681C"/>
    <w:rsid w:val="00226D31"/>
    <w:rsid w:val="00226FA8"/>
    <w:rsid w:val="002276C5"/>
    <w:rsid w:val="00230560"/>
    <w:rsid w:val="00230A0E"/>
    <w:rsid w:val="00230CEB"/>
    <w:rsid w:val="00230EA6"/>
    <w:rsid w:val="00230EDF"/>
    <w:rsid w:val="002312C2"/>
    <w:rsid w:val="00231433"/>
    <w:rsid w:val="002326CF"/>
    <w:rsid w:val="00232956"/>
    <w:rsid w:val="00232B0D"/>
    <w:rsid w:val="00232B9D"/>
    <w:rsid w:val="00232E4B"/>
    <w:rsid w:val="002333F3"/>
    <w:rsid w:val="00233574"/>
    <w:rsid w:val="002335C6"/>
    <w:rsid w:val="00233F28"/>
    <w:rsid w:val="00234EF2"/>
    <w:rsid w:val="002354C2"/>
    <w:rsid w:val="00235AA0"/>
    <w:rsid w:val="002362F8"/>
    <w:rsid w:val="00236472"/>
    <w:rsid w:val="0023683C"/>
    <w:rsid w:val="00237C7C"/>
    <w:rsid w:val="00240558"/>
    <w:rsid w:val="00241208"/>
    <w:rsid w:val="00241850"/>
    <w:rsid w:val="0024208B"/>
    <w:rsid w:val="002420CD"/>
    <w:rsid w:val="00242282"/>
    <w:rsid w:val="002422FF"/>
    <w:rsid w:val="002427D3"/>
    <w:rsid w:val="002429CB"/>
    <w:rsid w:val="00242AEC"/>
    <w:rsid w:val="00242DAF"/>
    <w:rsid w:val="00243368"/>
    <w:rsid w:val="002438A3"/>
    <w:rsid w:val="00243B7A"/>
    <w:rsid w:val="00243C76"/>
    <w:rsid w:val="00243DF3"/>
    <w:rsid w:val="00243EA0"/>
    <w:rsid w:val="002442C5"/>
    <w:rsid w:val="00244B58"/>
    <w:rsid w:val="00245E27"/>
    <w:rsid w:val="00246105"/>
    <w:rsid w:val="002463CB"/>
    <w:rsid w:val="00247304"/>
    <w:rsid w:val="002478FA"/>
    <w:rsid w:val="00247BC2"/>
    <w:rsid w:val="00250343"/>
    <w:rsid w:val="0025046B"/>
    <w:rsid w:val="00250A56"/>
    <w:rsid w:val="00250F32"/>
    <w:rsid w:val="00251009"/>
    <w:rsid w:val="002517F3"/>
    <w:rsid w:val="00252042"/>
    <w:rsid w:val="002521F6"/>
    <w:rsid w:val="002522CF"/>
    <w:rsid w:val="0025295A"/>
    <w:rsid w:val="00253221"/>
    <w:rsid w:val="0025330A"/>
    <w:rsid w:val="002535C4"/>
    <w:rsid w:val="002537BD"/>
    <w:rsid w:val="0025427E"/>
    <w:rsid w:val="00254435"/>
    <w:rsid w:val="00254F5C"/>
    <w:rsid w:val="00255276"/>
    <w:rsid w:val="002553FE"/>
    <w:rsid w:val="002555BA"/>
    <w:rsid w:val="002557B5"/>
    <w:rsid w:val="00257078"/>
    <w:rsid w:val="0025775B"/>
    <w:rsid w:val="00257885"/>
    <w:rsid w:val="00257BC1"/>
    <w:rsid w:val="00257D76"/>
    <w:rsid w:val="002603F7"/>
    <w:rsid w:val="00260F78"/>
    <w:rsid w:val="00260F8C"/>
    <w:rsid w:val="00261046"/>
    <w:rsid w:val="00261611"/>
    <w:rsid w:val="00262461"/>
    <w:rsid w:val="00262A19"/>
    <w:rsid w:val="00262E9E"/>
    <w:rsid w:val="00263ADF"/>
    <w:rsid w:val="00264210"/>
    <w:rsid w:val="00264289"/>
    <w:rsid w:val="00264466"/>
    <w:rsid w:val="00265150"/>
    <w:rsid w:val="002654F9"/>
    <w:rsid w:val="0026557A"/>
    <w:rsid w:val="00265782"/>
    <w:rsid w:val="0026590E"/>
    <w:rsid w:val="00265E13"/>
    <w:rsid w:val="002668A3"/>
    <w:rsid w:val="002669D1"/>
    <w:rsid w:val="00266AA4"/>
    <w:rsid w:val="0026748E"/>
    <w:rsid w:val="0026778E"/>
    <w:rsid w:val="002679D1"/>
    <w:rsid w:val="00270F6F"/>
    <w:rsid w:val="0027126C"/>
    <w:rsid w:val="002713A5"/>
    <w:rsid w:val="0027154C"/>
    <w:rsid w:val="00271562"/>
    <w:rsid w:val="0027176D"/>
    <w:rsid w:val="0027284D"/>
    <w:rsid w:val="00272FE2"/>
    <w:rsid w:val="00273820"/>
    <w:rsid w:val="002741A0"/>
    <w:rsid w:val="00274540"/>
    <w:rsid w:val="0027462B"/>
    <w:rsid w:val="00274A9B"/>
    <w:rsid w:val="00274F27"/>
    <w:rsid w:val="002754EC"/>
    <w:rsid w:val="00275FAF"/>
    <w:rsid w:val="00276576"/>
    <w:rsid w:val="002768C0"/>
    <w:rsid w:val="00277015"/>
    <w:rsid w:val="0027737B"/>
    <w:rsid w:val="00277420"/>
    <w:rsid w:val="00277669"/>
    <w:rsid w:val="00280C07"/>
    <w:rsid w:val="002810CF"/>
    <w:rsid w:val="002810D2"/>
    <w:rsid w:val="002813B4"/>
    <w:rsid w:val="00281895"/>
    <w:rsid w:val="00281A17"/>
    <w:rsid w:val="002825F7"/>
    <w:rsid w:val="002829E9"/>
    <w:rsid w:val="0028308E"/>
    <w:rsid w:val="0028315E"/>
    <w:rsid w:val="00283690"/>
    <w:rsid w:val="002838A2"/>
    <w:rsid w:val="002840D8"/>
    <w:rsid w:val="002845F9"/>
    <w:rsid w:val="00285017"/>
    <w:rsid w:val="00285442"/>
    <w:rsid w:val="00285908"/>
    <w:rsid w:val="00285A96"/>
    <w:rsid w:val="002860BB"/>
    <w:rsid w:val="002868C4"/>
    <w:rsid w:val="002874E2"/>
    <w:rsid w:val="00287AB1"/>
    <w:rsid w:val="00287B7C"/>
    <w:rsid w:val="00287C5E"/>
    <w:rsid w:val="00290B5C"/>
    <w:rsid w:val="00290CA0"/>
    <w:rsid w:val="00291303"/>
    <w:rsid w:val="00291C00"/>
    <w:rsid w:val="00291F91"/>
    <w:rsid w:val="00292552"/>
    <w:rsid w:val="0029256B"/>
    <w:rsid w:val="0029270F"/>
    <w:rsid w:val="00292BCE"/>
    <w:rsid w:val="00292EF5"/>
    <w:rsid w:val="00293D96"/>
    <w:rsid w:val="00293E6A"/>
    <w:rsid w:val="002944F2"/>
    <w:rsid w:val="0029492A"/>
    <w:rsid w:val="002950A4"/>
    <w:rsid w:val="002950F2"/>
    <w:rsid w:val="002952F1"/>
    <w:rsid w:val="00295D2D"/>
    <w:rsid w:val="0029617B"/>
    <w:rsid w:val="00296710"/>
    <w:rsid w:val="00296AA1"/>
    <w:rsid w:val="0029706F"/>
    <w:rsid w:val="002970E5"/>
    <w:rsid w:val="0029723A"/>
    <w:rsid w:val="002A0233"/>
    <w:rsid w:val="002A0379"/>
    <w:rsid w:val="002A0F7F"/>
    <w:rsid w:val="002A17F1"/>
    <w:rsid w:val="002A22AC"/>
    <w:rsid w:val="002A2D1F"/>
    <w:rsid w:val="002A2D2E"/>
    <w:rsid w:val="002A2F21"/>
    <w:rsid w:val="002A3F1D"/>
    <w:rsid w:val="002A4609"/>
    <w:rsid w:val="002A6234"/>
    <w:rsid w:val="002A66E3"/>
    <w:rsid w:val="002A6ACE"/>
    <w:rsid w:val="002A70E3"/>
    <w:rsid w:val="002A7DBF"/>
    <w:rsid w:val="002A7FD9"/>
    <w:rsid w:val="002B03D9"/>
    <w:rsid w:val="002B0487"/>
    <w:rsid w:val="002B0AF2"/>
    <w:rsid w:val="002B0D70"/>
    <w:rsid w:val="002B13B1"/>
    <w:rsid w:val="002B2169"/>
    <w:rsid w:val="002B22CE"/>
    <w:rsid w:val="002B2ED9"/>
    <w:rsid w:val="002B3238"/>
    <w:rsid w:val="002B361E"/>
    <w:rsid w:val="002B3B9C"/>
    <w:rsid w:val="002B3DCD"/>
    <w:rsid w:val="002B4033"/>
    <w:rsid w:val="002B4A4E"/>
    <w:rsid w:val="002B5F73"/>
    <w:rsid w:val="002B6143"/>
    <w:rsid w:val="002B6644"/>
    <w:rsid w:val="002B7513"/>
    <w:rsid w:val="002C09ED"/>
    <w:rsid w:val="002C1E71"/>
    <w:rsid w:val="002C2961"/>
    <w:rsid w:val="002C2A9F"/>
    <w:rsid w:val="002C2EFF"/>
    <w:rsid w:val="002C3749"/>
    <w:rsid w:val="002C3963"/>
    <w:rsid w:val="002C3E15"/>
    <w:rsid w:val="002C43FF"/>
    <w:rsid w:val="002C4CC4"/>
    <w:rsid w:val="002C4E49"/>
    <w:rsid w:val="002C50E7"/>
    <w:rsid w:val="002C54D3"/>
    <w:rsid w:val="002C59F4"/>
    <w:rsid w:val="002C6193"/>
    <w:rsid w:val="002C7AD1"/>
    <w:rsid w:val="002C7BD1"/>
    <w:rsid w:val="002C7C4A"/>
    <w:rsid w:val="002D0476"/>
    <w:rsid w:val="002D13BF"/>
    <w:rsid w:val="002D18E6"/>
    <w:rsid w:val="002D25DD"/>
    <w:rsid w:val="002D2706"/>
    <w:rsid w:val="002D2799"/>
    <w:rsid w:val="002D3129"/>
    <w:rsid w:val="002D31D7"/>
    <w:rsid w:val="002D36C1"/>
    <w:rsid w:val="002D42AF"/>
    <w:rsid w:val="002D454E"/>
    <w:rsid w:val="002D49CB"/>
    <w:rsid w:val="002D4F2E"/>
    <w:rsid w:val="002D5C7E"/>
    <w:rsid w:val="002D5ED3"/>
    <w:rsid w:val="002D61B8"/>
    <w:rsid w:val="002D69E1"/>
    <w:rsid w:val="002D6B66"/>
    <w:rsid w:val="002D6DC1"/>
    <w:rsid w:val="002D6F88"/>
    <w:rsid w:val="002D7891"/>
    <w:rsid w:val="002D7DA5"/>
    <w:rsid w:val="002E026A"/>
    <w:rsid w:val="002E048C"/>
    <w:rsid w:val="002E11B5"/>
    <w:rsid w:val="002E1477"/>
    <w:rsid w:val="002E2443"/>
    <w:rsid w:val="002E264E"/>
    <w:rsid w:val="002E2A9E"/>
    <w:rsid w:val="002E3A33"/>
    <w:rsid w:val="002E3BF0"/>
    <w:rsid w:val="002E47B7"/>
    <w:rsid w:val="002E4DDC"/>
    <w:rsid w:val="002E5244"/>
    <w:rsid w:val="002E5326"/>
    <w:rsid w:val="002E54B0"/>
    <w:rsid w:val="002E55C0"/>
    <w:rsid w:val="002E564D"/>
    <w:rsid w:val="002E6879"/>
    <w:rsid w:val="002E7426"/>
    <w:rsid w:val="002E761E"/>
    <w:rsid w:val="002E7A70"/>
    <w:rsid w:val="002E7D56"/>
    <w:rsid w:val="002F202D"/>
    <w:rsid w:val="002F28C6"/>
    <w:rsid w:val="002F2ABD"/>
    <w:rsid w:val="002F2B15"/>
    <w:rsid w:val="002F2B22"/>
    <w:rsid w:val="002F2BF7"/>
    <w:rsid w:val="002F2EEC"/>
    <w:rsid w:val="002F3359"/>
    <w:rsid w:val="002F33A6"/>
    <w:rsid w:val="002F3423"/>
    <w:rsid w:val="002F3790"/>
    <w:rsid w:val="002F3C7B"/>
    <w:rsid w:val="002F4869"/>
    <w:rsid w:val="002F54DB"/>
    <w:rsid w:val="002F571F"/>
    <w:rsid w:val="002F58EA"/>
    <w:rsid w:val="002F5998"/>
    <w:rsid w:val="002F5C36"/>
    <w:rsid w:val="002F6237"/>
    <w:rsid w:val="002F6CF4"/>
    <w:rsid w:val="002F7907"/>
    <w:rsid w:val="002F7933"/>
    <w:rsid w:val="002F7982"/>
    <w:rsid w:val="002F7E52"/>
    <w:rsid w:val="003001CD"/>
    <w:rsid w:val="00300755"/>
    <w:rsid w:val="00300888"/>
    <w:rsid w:val="00300DDB"/>
    <w:rsid w:val="00301718"/>
    <w:rsid w:val="003018BB"/>
    <w:rsid w:val="00301A3D"/>
    <w:rsid w:val="00303915"/>
    <w:rsid w:val="00305D57"/>
    <w:rsid w:val="003060D9"/>
    <w:rsid w:val="0030625C"/>
    <w:rsid w:val="003064C6"/>
    <w:rsid w:val="00306968"/>
    <w:rsid w:val="00306F7F"/>
    <w:rsid w:val="00307250"/>
    <w:rsid w:val="00307302"/>
    <w:rsid w:val="00307368"/>
    <w:rsid w:val="003075CA"/>
    <w:rsid w:val="003077DF"/>
    <w:rsid w:val="003079DD"/>
    <w:rsid w:val="00307ADA"/>
    <w:rsid w:val="003101DA"/>
    <w:rsid w:val="00310360"/>
    <w:rsid w:val="003105AE"/>
    <w:rsid w:val="00310A78"/>
    <w:rsid w:val="00310DB0"/>
    <w:rsid w:val="00310FFE"/>
    <w:rsid w:val="003130B3"/>
    <w:rsid w:val="00314632"/>
    <w:rsid w:val="00315083"/>
    <w:rsid w:val="00315370"/>
    <w:rsid w:val="00315694"/>
    <w:rsid w:val="0031574C"/>
    <w:rsid w:val="00315A90"/>
    <w:rsid w:val="003166F4"/>
    <w:rsid w:val="00316BD2"/>
    <w:rsid w:val="00316F85"/>
    <w:rsid w:val="0031789E"/>
    <w:rsid w:val="00317C5F"/>
    <w:rsid w:val="003206BD"/>
    <w:rsid w:val="0032128F"/>
    <w:rsid w:val="003212DE"/>
    <w:rsid w:val="00321499"/>
    <w:rsid w:val="00321FF6"/>
    <w:rsid w:val="0032271C"/>
    <w:rsid w:val="00323689"/>
    <w:rsid w:val="003243F1"/>
    <w:rsid w:val="003251D4"/>
    <w:rsid w:val="00325934"/>
    <w:rsid w:val="00325AF3"/>
    <w:rsid w:val="00326E39"/>
    <w:rsid w:val="003271EF"/>
    <w:rsid w:val="00327A4B"/>
    <w:rsid w:val="00327A97"/>
    <w:rsid w:val="00327F42"/>
    <w:rsid w:val="003303F3"/>
    <w:rsid w:val="00330E3E"/>
    <w:rsid w:val="00331B4F"/>
    <w:rsid w:val="00331F6C"/>
    <w:rsid w:val="00332A7E"/>
    <w:rsid w:val="003330F2"/>
    <w:rsid w:val="0033325F"/>
    <w:rsid w:val="0033453B"/>
    <w:rsid w:val="00334737"/>
    <w:rsid w:val="00334A10"/>
    <w:rsid w:val="00334B45"/>
    <w:rsid w:val="00334BFA"/>
    <w:rsid w:val="00335D0A"/>
    <w:rsid w:val="003374ED"/>
    <w:rsid w:val="00337CC9"/>
    <w:rsid w:val="00340ABE"/>
    <w:rsid w:val="00341818"/>
    <w:rsid w:val="00342057"/>
    <w:rsid w:val="00342246"/>
    <w:rsid w:val="00342E04"/>
    <w:rsid w:val="00342F32"/>
    <w:rsid w:val="00343626"/>
    <w:rsid w:val="00343749"/>
    <w:rsid w:val="00343A2C"/>
    <w:rsid w:val="00343F89"/>
    <w:rsid w:val="003441C9"/>
    <w:rsid w:val="00344278"/>
    <w:rsid w:val="003449DF"/>
    <w:rsid w:val="0034537C"/>
    <w:rsid w:val="00346B21"/>
    <w:rsid w:val="00346CDA"/>
    <w:rsid w:val="00346D0E"/>
    <w:rsid w:val="00347241"/>
    <w:rsid w:val="003476AF"/>
    <w:rsid w:val="00347819"/>
    <w:rsid w:val="00347975"/>
    <w:rsid w:val="00347F98"/>
    <w:rsid w:val="003517B5"/>
    <w:rsid w:val="00351DF5"/>
    <w:rsid w:val="00351EB4"/>
    <w:rsid w:val="00351FF2"/>
    <w:rsid w:val="00352BC0"/>
    <w:rsid w:val="00352F5E"/>
    <w:rsid w:val="00353290"/>
    <w:rsid w:val="00353EAC"/>
    <w:rsid w:val="00354010"/>
    <w:rsid w:val="003541FB"/>
    <w:rsid w:val="0035450D"/>
    <w:rsid w:val="0035492A"/>
    <w:rsid w:val="00354A96"/>
    <w:rsid w:val="00354E1B"/>
    <w:rsid w:val="003557F0"/>
    <w:rsid w:val="00355E39"/>
    <w:rsid w:val="00355FDA"/>
    <w:rsid w:val="0035622E"/>
    <w:rsid w:val="0035631A"/>
    <w:rsid w:val="00356474"/>
    <w:rsid w:val="0035733C"/>
    <w:rsid w:val="00357B91"/>
    <w:rsid w:val="00357F24"/>
    <w:rsid w:val="003603A3"/>
    <w:rsid w:val="0036084C"/>
    <w:rsid w:val="00360A9D"/>
    <w:rsid w:val="00360CDB"/>
    <w:rsid w:val="00360DE8"/>
    <w:rsid w:val="00361457"/>
    <w:rsid w:val="00361470"/>
    <w:rsid w:val="003616D3"/>
    <w:rsid w:val="003619E3"/>
    <w:rsid w:val="00361E4B"/>
    <w:rsid w:val="00361EC6"/>
    <w:rsid w:val="00363F79"/>
    <w:rsid w:val="0036499F"/>
    <w:rsid w:val="00365A20"/>
    <w:rsid w:val="00365C45"/>
    <w:rsid w:val="00365CB2"/>
    <w:rsid w:val="003664BF"/>
    <w:rsid w:val="00366B71"/>
    <w:rsid w:val="00367A55"/>
    <w:rsid w:val="00367C0E"/>
    <w:rsid w:val="00370823"/>
    <w:rsid w:val="00370BD4"/>
    <w:rsid w:val="00370E2D"/>
    <w:rsid w:val="003711C2"/>
    <w:rsid w:val="00371BA0"/>
    <w:rsid w:val="00372BE2"/>
    <w:rsid w:val="0037350D"/>
    <w:rsid w:val="0037360F"/>
    <w:rsid w:val="00374FE3"/>
    <w:rsid w:val="00375D00"/>
    <w:rsid w:val="003763C4"/>
    <w:rsid w:val="00376D9B"/>
    <w:rsid w:val="003800E7"/>
    <w:rsid w:val="00380839"/>
    <w:rsid w:val="003808D5"/>
    <w:rsid w:val="00380915"/>
    <w:rsid w:val="00380A31"/>
    <w:rsid w:val="0038130D"/>
    <w:rsid w:val="003816BB"/>
    <w:rsid w:val="00381912"/>
    <w:rsid w:val="00381A22"/>
    <w:rsid w:val="00381B21"/>
    <w:rsid w:val="0038250C"/>
    <w:rsid w:val="00382CF0"/>
    <w:rsid w:val="00382D1B"/>
    <w:rsid w:val="00382D1F"/>
    <w:rsid w:val="003833CA"/>
    <w:rsid w:val="00383AAA"/>
    <w:rsid w:val="00384213"/>
    <w:rsid w:val="00384257"/>
    <w:rsid w:val="0038443C"/>
    <w:rsid w:val="00384A1B"/>
    <w:rsid w:val="00384CBB"/>
    <w:rsid w:val="0038555D"/>
    <w:rsid w:val="00385B21"/>
    <w:rsid w:val="0038614E"/>
    <w:rsid w:val="003871E4"/>
    <w:rsid w:val="0038739F"/>
    <w:rsid w:val="0039021B"/>
    <w:rsid w:val="003904D1"/>
    <w:rsid w:val="003912C7"/>
    <w:rsid w:val="00391A57"/>
    <w:rsid w:val="00391E12"/>
    <w:rsid w:val="003929CF"/>
    <w:rsid w:val="00392B23"/>
    <w:rsid w:val="00392F6B"/>
    <w:rsid w:val="00393AF5"/>
    <w:rsid w:val="00393B4F"/>
    <w:rsid w:val="00393B90"/>
    <w:rsid w:val="00393C91"/>
    <w:rsid w:val="00393CC1"/>
    <w:rsid w:val="00394266"/>
    <w:rsid w:val="003945E1"/>
    <w:rsid w:val="003949AE"/>
    <w:rsid w:val="00394ECE"/>
    <w:rsid w:val="00395B30"/>
    <w:rsid w:val="003962F0"/>
    <w:rsid w:val="00396A51"/>
    <w:rsid w:val="0039773E"/>
    <w:rsid w:val="003A1237"/>
    <w:rsid w:val="003A210B"/>
    <w:rsid w:val="003A2650"/>
    <w:rsid w:val="003A26D3"/>
    <w:rsid w:val="003A2755"/>
    <w:rsid w:val="003A27AE"/>
    <w:rsid w:val="003A283E"/>
    <w:rsid w:val="003A2A25"/>
    <w:rsid w:val="003A3305"/>
    <w:rsid w:val="003A393B"/>
    <w:rsid w:val="003A3BAF"/>
    <w:rsid w:val="003A3E54"/>
    <w:rsid w:val="003A47CF"/>
    <w:rsid w:val="003A4A84"/>
    <w:rsid w:val="003A51EE"/>
    <w:rsid w:val="003A5254"/>
    <w:rsid w:val="003A5E1C"/>
    <w:rsid w:val="003A5F7A"/>
    <w:rsid w:val="003A6233"/>
    <w:rsid w:val="003A78E9"/>
    <w:rsid w:val="003B0538"/>
    <w:rsid w:val="003B0550"/>
    <w:rsid w:val="003B0555"/>
    <w:rsid w:val="003B0DFF"/>
    <w:rsid w:val="003B0F95"/>
    <w:rsid w:val="003B15AA"/>
    <w:rsid w:val="003B15E5"/>
    <w:rsid w:val="003B1B5D"/>
    <w:rsid w:val="003B1D2D"/>
    <w:rsid w:val="003B1F31"/>
    <w:rsid w:val="003B2442"/>
    <w:rsid w:val="003B259D"/>
    <w:rsid w:val="003B2A33"/>
    <w:rsid w:val="003B34BF"/>
    <w:rsid w:val="003B3FDD"/>
    <w:rsid w:val="003B5833"/>
    <w:rsid w:val="003B59E1"/>
    <w:rsid w:val="003B618C"/>
    <w:rsid w:val="003B694F"/>
    <w:rsid w:val="003B6A68"/>
    <w:rsid w:val="003B7254"/>
    <w:rsid w:val="003B736F"/>
    <w:rsid w:val="003B73AD"/>
    <w:rsid w:val="003B7A4E"/>
    <w:rsid w:val="003C0376"/>
    <w:rsid w:val="003C0D9A"/>
    <w:rsid w:val="003C10CD"/>
    <w:rsid w:val="003C20A2"/>
    <w:rsid w:val="003C20C1"/>
    <w:rsid w:val="003C2AF3"/>
    <w:rsid w:val="003C3AF1"/>
    <w:rsid w:val="003C3C6E"/>
    <w:rsid w:val="003C4BA7"/>
    <w:rsid w:val="003C4C72"/>
    <w:rsid w:val="003C5785"/>
    <w:rsid w:val="003C590B"/>
    <w:rsid w:val="003C6197"/>
    <w:rsid w:val="003C6CE5"/>
    <w:rsid w:val="003C78D4"/>
    <w:rsid w:val="003C79B5"/>
    <w:rsid w:val="003C7ACC"/>
    <w:rsid w:val="003C7CAE"/>
    <w:rsid w:val="003C7EA5"/>
    <w:rsid w:val="003D01A6"/>
    <w:rsid w:val="003D0712"/>
    <w:rsid w:val="003D0944"/>
    <w:rsid w:val="003D0C1C"/>
    <w:rsid w:val="003D13DE"/>
    <w:rsid w:val="003D17F7"/>
    <w:rsid w:val="003D1AE7"/>
    <w:rsid w:val="003D32D9"/>
    <w:rsid w:val="003D466A"/>
    <w:rsid w:val="003D4735"/>
    <w:rsid w:val="003D5645"/>
    <w:rsid w:val="003D6223"/>
    <w:rsid w:val="003D669C"/>
    <w:rsid w:val="003D68D1"/>
    <w:rsid w:val="003D6D1D"/>
    <w:rsid w:val="003D7472"/>
    <w:rsid w:val="003D7B73"/>
    <w:rsid w:val="003E00D7"/>
    <w:rsid w:val="003E042E"/>
    <w:rsid w:val="003E187E"/>
    <w:rsid w:val="003E1995"/>
    <w:rsid w:val="003E1EAA"/>
    <w:rsid w:val="003E202A"/>
    <w:rsid w:val="003E2A3F"/>
    <w:rsid w:val="003E2C79"/>
    <w:rsid w:val="003E2D94"/>
    <w:rsid w:val="003E359F"/>
    <w:rsid w:val="003E40FE"/>
    <w:rsid w:val="003E46D3"/>
    <w:rsid w:val="003E47BD"/>
    <w:rsid w:val="003E4B1B"/>
    <w:rsid w:val="003E5072"/>
    <w:rsid w:val="003E507F"/>
    <w:rsid w:val="003E53E7"/>
    <w:rsid w:val="003E53F8"/>
    <w:rsid w:val="003E6C07"/>
    <w:rsid w:val="003E6CDA"/>
    <w:rsid w:val="003E6FFF"/>
    <w:rsid w:val="003E703D"/>
    <w:rsid w:val="003E7386"/>
    <w:rsid w:val="003E778A"/>
    <w:rsid w:val="003E7E3F"/>
    <w:rsid w:val="003F0A57"/>
    <w:rsid w:val="003F1138"/>
    <w:rsid w:val="003F1279"/>
    <w:rsid w:val="003F171C"/>
    <w:rsid w:val="003F17FB"/>
    <w:rsid w:val="003F1BCC"/>
    <w:rsid w:val="003F233B"/>
    <w:rsid w:val="003F2570"/>
    <w:rsid w:val="003F2C1A"/>
    <w:rsid w:val="003F2D43"/>
    <w:rsid w:val="003F33B8"/>
    <w:rsid w:val="003F3DA3"/>
    <w:rsid w:val="003F4406"/>
    <w:rsid w:val="003F578C"/>
    <w:rsid w:val="003F5C91"/>
    <w:rsid w:val="003F5DE4"/>
    <w:rsid w:val="003F61F0"/>
    <w:rsid w:val="003F6D56"/>
    <w:rsid w:val="003F7CA1"/>
    <w:rsid w:val="00400672"/>
    <w:rsid w:val="00400C17"/>
    <w:rsid w:val="004018E3"/>
    <w:rsid w:val="00402A19"/>
    <w:rsid w:val="00404502"/>
    <w:rsid w:val="0040486E"/>
    <w:rsid w:val="004049AB"/>
    <w:rsid w:val="00405018"/>
    <w:rsid w:val="00405A6E"/>
    <w:rsid w:val="00405C4A"/>
    <w:rsid w:val="00405D6E"/>
    <w:rsid w:val="0040631A"/>
    <w:rsid w:val="00406DC4"/>
    <w:rsid w:val="004072C1"/>
    <w:rsid w:val="00407927"/>
    <w:rsid w:val="00410324"/>
    <w:rsid w:val="0041054D"/>
    <w:rsid w:val="004108E6"/>
    <w:rsid w:val="00411867"/>
    <w:rsid w:val="00412262"/>
    <w:rsid w:val="00412C7B"/>
    <w:rsid w:val="00412FC5"/>
    <w:rsid w:val="0041311B"/>
    <w:rsid w:val="00413AA6"/>
    <w:rsid w:val="00413C57"/>
    <w:rsid w:val="00414563"/>
    <w:rsid w:val="004147E7"/>
    <w:rsid w:val="004150BD"/>
    <w:rsid w:val="004157D5"/>
    <w:rsid w:val="004165AA"/>
    <w:rsid w:val="00416772"/>
    <w:rsid w:val="00416BD8"/>
    <w:rsid w:val="00416BEC"/>
    <w:rsid w:val="004178EE"/>
    <w:rsid w:val="00417A80"/>
    <w:rsid w:val="00417A84"/>
    <w:rsid w:val="00417B5F"/>
    <w:rsid w:val="00417CF6"/>
    <w:rsid w:val="00417E8C"/>
    <w:rsid w:val="0042023C"/>
    <w:rsid w:val="0042066F"/>
    <w:rsid w:val="00420ED4"/>
    <w:rsid w:val="00422276"/>
    <w:rsid w:val="00422591"/>
    <w:rsid w:val="00422B4F"/>
    <w:rsid w:val="00422B87"/>
    <w:rsid w:val="00422E03"/>
    <w:rsid w:val="00422EE3"/>
    <w:rsid w:val="00422FEB"/>
    <w:rsid w:val="00423574"/>
    <w:rsid w:val="00424050"/>
    <w:rsid w:val="004242F1"/>
    <w:rsid w:val="00424FE5"/>
    <w:rsid w:val="004250A8"/>
    <w:rsid w:val="00425E16"/>
    <w:rsid w:val="004263EC"/>
    <w:rsid w:val="00426D3E"/>
    <w:rsid w:val="00427093"/>
    <w:rsid w:val="00427130"/>
    <w:rsid w:val="00430BC1"/>
    <w:rsid w:val="00430CEC"/>
    <w:rsid w:val="00430D9C"/>
    <w:rsid w:val="00431269"/>
    <w:rsid w:val="00431C02"/>
    <w:rsid w:val="00432760"/>
    <w:rsid w:val="004328D7"/>
    <w:rsid w:val="004330B1"/>
    <w:rsid w:val="0043329F"/>
    <w:rsid w:val="00433303"/>
    <w:rsid w:val="004335E0"/>
    <w:rsid w:val="00433888"/>
    <w:rsid w:val="00433CC0"/>
    <w:rsid w:val="00433DDE"/>
    <w:rsid w:val="004345A9"/>
    <w:rsid w:val="00434874"/>
    <w:rsid w:val="004352AD"/>
    <w:rsid w:val="00435437"/>
    <w:rsid w:val="004360E3"/>
    <w:rsid w:val="00436ED9"/>
    <w:rsid w:val="004370D5"/>
    <w:rsid w:val="004377A1"/>
    <w:rsid w:val="00440AF5"/>
    <w:rsid w:val="00440E0E"/>
    <w:rsid w:val="00441058"/>
    <w:rsid w:val="004418AE"/>
    <w:rsid w:val="004420CE"/>
    <w:rsid w:val="004421EA"/>
    <w:rsid w:val="004427A5"/>
    <w:rsid w:val="0044386A"/>
    <w:rsid w:val="00443AAA"/>
    <w:rsid w:val="00443BA6"/>
    <w:rsid w:val="0044477B"/>
    <w:rsid w:val="00445449"/>
    <w:rsid w:val="004458D5"/>
    <w:rsid w:val="00445A00"/>
    <w:rsid w:val="00445D2F"/>
    <w:rsid w:val="00445E16"/>
    <w:rsid w:val="004465C6"/>
    <w:rsid w:val="004468C8"/>
    <w:rsid w:val="00447F6C"/>
    <w:rsid w:val="004500BB"/>
    <w:rsid w:val="00451105"/>
    <w:rsid w:val="0045143C"/>
    <w:rsid w:val="004514CA"/>
    <w:rsid w:val="004519C6"/>
    <w:rsid w:val="00451B0F"/>
    <w:rsid w:val="00451C45"/>
    <w:rsid w:val="0045273D"/>
    <w:rsid w:val="00452C54"/>
    <w:rsid w:val="00453C5B"/>
    <w:rsid w:val="00453EE1"/>
    <w:rsid w:val="00454827"/>
    <w:rsid w:val="00454D03"/>
    <w:rsid w:val="00454F9D"/>
    <w:rsid w:val="00455794"/>
    <w:rsid w:val="00455ECB"/>
    <w:rsid w:val="00455F0D"/>
    <w:rsid w:val="004561DD"/>
    <w:rsid w:val="00456987"/>
    <w:rsid w:val="00457554"/>
    <w:rsid w:val="00457835"/>
    <w:rsid w:val="00460094"/>
    <w:rsid w:val="00460199"/>
    <w:rsid w:val="00460CFB"/>
    <w:rsid w:val="00460E5E"/>
    <w:rsid w:val="00461044"/>
    <w:rsid w:val="00461559"/>
    <w:rsid w:val="00461B54"/>
    <w:rsid w:val="00461C6A"/>
    <w:rsid w:val="0046267C"/>
    <w:rsid w:val="00462D59"/>
    <w:rsid w:val="0046301A"/>
    <w:rsid w:val="004635AC"/>
    <w:rsid w:val="00463662"/>
    <w:rsid w:val="004641EB"/>
    <w:rsid w:val="00464677"/>
    <w:rsid w:val="004646E2"/>
    <w:rsid w:val="00464BA7"/>
    <w:rsid w:val="004650E2"/>
    <w:rsid w:val="00465487"/>
    <w:rsid w:val="00465C4B"/>
    <w:rsid w:val="00465D1C"/>
    <w:rsid w:val="0046610A"/>
    <w:rsid w:val="00466116"/>
    <w:rsid w:val="00466153"/>
    <w:rsid w:val="004668C8"/>
    <w:rsid w:val="00466F94"/>
    <w:rsid w:val="00467129"/>
    <w:rsid w:val="004672B9"/>
    <w:rsid w:val="004679FF"/>
    <w:rsid w:val="00467B22"/>
    <w:rsid w:val="00467D79"/>
    <w:rsid w:val="00470491"/>
    <w:rsid w:val="0047101F"/>
    <w:rsid w:val="0047121A"/>
    <w:rsid w:val="00471EE5"/>
    <w:rsid w:val="004720B2"/>
    <w:rsid w:val="00473D4C"/>
    <w:rsid w:val="00473FFB"/>
    <w:rsid w:val="00474520"/>
    <w:rsid w:val="00475847"/>
    <w:rsid w:val="00476B38"/>
    <w:rsid w:val="00477D40"/>
    <w:rsid w:val="0048047E"/>
    <w:rsid w:val="00480C17"/>
    <w:rsid w:val="0048120F"/>
    <w:rsid w:val="00482326"/>
    <w:rsid w:val="00482D26"/>
    <w:rsid w:val="00482E99"/>
    <w:rsid w:val="0048320C"/>
    <w:rsid w:val="004836D9"/>
    <w:rsid w:val="004836F5"/>
    <w:rsid w:val="00483EB8"/>
    <w:rsid w:val="004842BE"/>
    <w:rsid w:val="0048577F"/>
    <w:rsid w:val="00485BAD"/>
    <w:rsid w:val="004867EB"/>
    <w:rsid w:val="0048693F"/>
    <w:rsid w:val="00486D96"/>
    <w:rsid w:val="0048749A"/>
    <w:rsid w:val="004907E1"/>
    <w:rsid w:val="00490C50"/>
    <w:rsid w:val="00490FD3"/>
    <w:rsid w:val="00491100"/>
    <w:rsid w:val="004914D4"/>
    <w:rsid w:val="00491559"/>
    <w:rsid w:val="00491825"/>
    <w:rsid w:val="00491B02"/>
    <w:rsid w:val="00491DB1"/>
    <w:rsid w:val="00491EB9"/>
    <w:rsid w:val="00492638"/>
    <w:rsid w:val="00492919"/>
    <w:rsid w:val="00492B92"/>
    <w:rsid w:val="0049311B"/>
    <w:rsid w:val="004944F4"/>
    <w:rsid w:val="0049476A"/>
    <w:rsid w:val="0049493A"/>
    <w:rsid w:val="00494D24"/>
    <w:rsid w:val="00494F7E"/>
    <w:rsid w:val="00494FC9"/>
    <w:rsid w:val="004950E3"/>
    <w:rsid w:val="00495296"/>
    <w:rsid w:val="004953E6"/>
    <w:rsid w:val="0049593F"/>
    <w:rsid w:val="00496EF3"/>
    <w:rsid w:val="00497579"/>
    <w:rsid w:val="004A0409"/>
    <w:rsid w:val="004A0608"/>
    <w:rsid w:val="004A0679"/>
    <w:rsid w:val="004A0B72"/>
    <w:rsid w:val="004A0EB8"/>
    <w:rsid w:val="004A0EDB"/>
    <w:rsid w:val="004A0F18"/>
    <w:rsid w:val="004A17D5"/>
    <w:rsid w:val="004A1FA9"/>
    <w:rsid w:val="004A26BD"/>
    <w:rsid w:val="004A2BF1"/>
    <w:rsid w:val="004A2CF9"/>
    <w:rsid w:val="004A2EB8"/>
    <w:rsid w:val="004A34DA"/>
    <w:rsid w:val="004A38BA"/>
    <w:rsid w:val="004A3DB3"/>
    <w:rsid w:val="004A403B"/>
    <w:rsid w:val="004A495A"/>
    <w:rsid w:val="004A4FA4"/>
    <w:rsid w:val="004A5D52"/>
    <w:rsid w:val="004A67AD"/>
    <w:rsid w:val="004A7114"/>
    <w:rsid w:val="004A7189"/>
    <w:rsid w:val="004A73F1"/>
    <w:rsid w:val="004B0362"/>
    <w:rsid w:val="004B0992"/>
    <w:rsid w:val="004B0F4F"/>
    <w:rsid w:val="004B10E1"/>
    <w:rsid w:val="004B15C8"/>
    <w:rsid w:val="004B1EF1"/>
    <w:rsid w:val="004B27AC"/>
    <w:rsid w:val="004B27E9"/>
    <w:rsid w:val="004B3D7B"/>
    <w:rsid w:val="004B3E5A"/>
    <w:rsid w:val="004B4428"/>
    <w:rsid w:val="004B5B36"/>
    <w:rsid w:val="004B5BFC"/>
    <w:rsid w:val="004B5FB1"/>
    <w:rsid w:val="004B6646"/>
    <w:rsid w:val="004B6818"/>
    <w:rsid w:val="004B708B"/>
    <w:rsid w:val="004B7091"/>
    <w:rsid w:val="004B770F"/>
    <w:rsid w:val="004B77AD"/>
    <w:rsid w:val="004B7FD3"/>
    <w:rsid w:val="004C0495"/>
    <w:rsid w:val="004C0943"/>
    <w:rsid w:val="004C0B8D"/>
    <w:rsid w:val="004C156D"/>
    <w:rsid w:val="004C1AF6"/>
    <w:rsid w:val="004C1C3C"/>
    <w:rsid w:val="004C2750"/>
    <w:rsid w:val="004C2897"/>
    <w:rsid w:val="004C2EE3"/>
    <w:rsid w:val="004C40A5"/>
    <w:rsid w:val="004C4835"/>
    <w:rsid w:val="004C4864"/>
    <w:rsid w:val="004C5264"/>
    <w:rsid w:val="004C5E91"/>
    <w:rsid w:val="004D0CD8"/>
    <w:rsid w:val="004D116E"/>
    <w:rsid w:val="004D1480"/>
    <w:rsid w:val="004D158E"/>
    <w:rsid w:val="004D17CE"/>
    <w:rsid w:val="004D2013"/>
    <w:rsid w:val="004D216B"/>
    <w:rsid w:val="004D23F3"/>
    <w:rsid w:val="004D25C7"/>
    <w:rsid w:val="004D2E49"/>
    <w:rsid w:val="004D2FE6"/>
    <w:rsid w:val="004D3EBD"/>
    <w:rsid w:val="004D4D34"/>
    <w:rsid w:val="004D4ED5"/>
    <w:rsid w:val="004D5788"/>
    <w:rsid w:val="004D586F"/>
    <w:rsid w:val="004D5EDE"/>
    <w:rsid w:val="004D65D2"/>
    <w:rsid w:val="004D7110"/>
    <w:rsid w:val="004D73F6"/>
    <w:rsid w:val="004D741B"/>
    <w:rsid w:val="004D7852"/>
    <w:rsid w:val="004E0208"/>
    <w:rsid w:val="004E0650"/>
    <w:rsid w:val="004E097B"/>
    <w:rsid w:val="004E0CE0"/>
    <w:rsid w:val="004E1B8E"/>
    <w:rsid w:val="004E1EC7"/>
    <w:rsid w:val="004E2330"/>
    <w:rsid w:val="004E3D74"/>
    <w:rsid w:val="004E447D"/>
    <w:rsid w:val="004E460F"/>
    <w:rsid w:val="004E4A22"/>
    <w:rsid w:val="004E4EB2"/>
    <w:rsid w:val="004E5B3B"/>
    <w:rsid w:val="004E5EEE"/>
    <w:rsid w:val="004E6A70"/>
    <w:rsid w:val="004E6E5E"/>
    <w:rsid w:val="004F0E64"/>
    <w:rsid w:val="004F106E"/>
    <w:rsid w:val="004F1272"/>
    <w:rsid w:val="004F1550"/>
    <w:rsid w:val="004F1621"/>
    <w:rsid w:val="004F241E"/>
    <w:rsid w:val="004F2798"/>
    <w:rsid w:val="004F2C15"/>
    <w:rsid w:val="004F3802"/>
    <w:rsid w:val="004F3CC3"/>
    <w:rsid w:val="004F3D29"/>
    <w:rsid w:val="004F4397"/>
    <w:rsid w:val="004F46C7"/>
    <w:rsid w:val="004F4C64"/>
    <w:rsid w:val="004F715B"/>
    <w:rsid w:val="004F73A2"/>
    <w:rsid w:val="004F7611"/>
    <w:rsid w:val="004F7A95"/>
    <w:rsid w:val="005005DF"/>
    <w:rsid w:val="005006A1"/>
    <w:rsid w:val="0050097A"/>
    <w:rsid w:val="00500CA1"/>
    <w:rsid w:val="0050123A"/>
    <w:rsid w:val="00501BD2"/>
    <w:rsid w:val="00501D1E"/>
    <w:rsid w:val="00501EE3"/>
    <w:rsid w:val="0050263F"/>
    <w:rsid w:val="00503760"/>
    <w:rsid w:val="0050428D"/>
    <w:rsid w:val="00504A86"/>
    <w:rsid w:val="00505A0C"/>
    <w:rsid w:val="005061F5"/>
    <w:rsid w:val="00506A12"/>
    <w:rsid w:val="00506A38"/>
    <w:rsid w:val="005071AD"/>
    <w:rsid w:val="00507282"/>
    <w:rsid w:val="0051037C"/>
    <w:rsid w:val="0051040D"/>
    <w:rsid w:val="00510B4A"/>
    <w:rsid w:val="00511603"/>
    <w:rsid w:val="00511968"/>
    <w:rsid w:val="00511983"/>
    <w:rsid w:val="005119D8"/>
    <w:rsid w:val="00511A36"/>
    <w:rsid w:val="00511B48"/>
    <w:rsid w:val="00511BAB"/>
    <w:rsid w:val="0051237C"/>
    <w:rsid w:val="00513227"/>
    <w:rsid w:val="00513332"/>
    <w:rsid w:val="005137B3"/>
    <w:rsid w:val="00513C0D"/>
    <w:rsid w:val="0051415F"/>
    <w:rsid w:val="005142B0"/>
    <w:rsid w:val="00514E93"/>
    <w:rsid w:val="00515391"/>
    <w:rsid w:val="005155D9"/>
    <w:rsid w:val="00517E6C"/>
    <w:rsid w:val="005204D5"/>
    <w:rsid w:val="00520D4E"/>
    <w:rsid w:val="005210E5"/>
    <w:rsid w:val="005211E0"/>
    <w:rsid w:val="0052135F"/>
    <w:rsid w:val="005217FB"/>
    <w:rsid w:val="00521FA1"/>
    <w:rsid w:val="00522041"/>
    <w:rsid w:val="00522A8F"/>
    <w:rsid w:val="00523556"/>
    <w:rsid w:val="00523D4C"/>
    <w:rsid w:val="00524119"/>
    <w:rsid w:val="005242FF"/>
    <w:rsid w:val="005246B2"/>
    <w:rsid w:val="00524AB4"/>
    <w:rsid w:val="00524B26"/>
    <w:rsid w:val="0052518D"/>
    <w:rsid w:val="00525212"/>
    <w:rsid w:val="00525794"/>
    <w:rsid w:val="00526558"/>
    <w:rsid w:val="00526C94"/>
    <w:rsid w:val="00527CB4"/>
    <w:rsid w:val="005303C2"/>
    <w:rsid w:val="005306FF"/>
    <w:rsid w:val="00530A1C"/>
    <w:rsid w:val="00530D1C"/>
    <w:rsid w:val="00530EE5"/>
    <w:rsid w:val="005310B9"/>
    <w:rsid w:val="00531801"/>
    <w:rsid w:val="005324DD"/>
    <w:rsid w:val="005328C2"/>
    <w:rsid w:val="00533132"/>
    <w:rsid w:val="005333F6"/>
    <w:rsid w:val="00533951"/>
    <w:rsid w:val="00533A84"/>
    <w:rsid w:val="005346DB"/>
    <w:rsid w:val="00534B5B"/>
    <w:rsid w:val="005351B2"/>
    <w:rsid w:val="00535383"/>
    <w:rsid w:val="005357C6"/>
    <w:rsid w:val="00535AA1"/>
    <w:rsid w:val="005366F7"/>
    <w:rsid w:val="00536837"/>
    <w:rsid w:val="00536992"/>
    <w:rsid w:val="00536AD8"/>
    <w:rsid w:val="005371C4"/>
    <w:rsid w:val="00537240"/>
    <w:rsid w:val="0053765C"/>
    <w:rsid w:val="00537D7E"/>
    <w:rsid w:val="0054141D"/>
    <w:rsid w:val="00541693"/>
    <w:rsid w:val="00541FF5"/>
    <w:rsid w:val="005422C4"/>
    <w:rsid w:val="00542883"/>
    <w:rsid w:val="00542FB2"/>
    <w:rsid w:val="005434AA"/>
    <w:rsid w:val="00543855"/>
    <w:rsid w:val="00543ACE"/>
    <w:rsid w:val="00543D30"/>
    <w:rsid w:val="00544251"/>
    <w:rsid w:val="00544F4E"/>
    <w:rsid w:val="00545958"/>
    <w:rsid w:val="00546076"/>
    <w:rsid w:val="00546357"/>
    <w:rsid w:val="00546792"/>
    <w:rsid w:val="00546EA6"/>
    <w:rsid w:val="00546EAC"/>
    <w:rsid w:val="00547606"/>
    <w:rsid w:val="0055001B"/>
    <w:rsid w:val="00550A76"/>
    <w:rsid w:val="00550D4F"/>
    <w:rsid w:val="0055121E"/>
    <w:rsid w:val="00551F25"/>
    <w:rsid w:val="00551F73"/>
    <w:rsid w:val="0055244F"/>
    <w:rsid w:val="00553257"/>
    <w:rsid w:val="005536A2"/>
    <w:rsid w:val="00553DC3"/>
    <w:rsid w:val="0055403C"/>
    <w:rsid w:val="00554351"/>
    <w:rsid w:val="005556B2"/>
    <w:rsid w:val="005558C4"/>
    <w:rsid w:val="005560AF"/>
    <w:rsid w:val="0055614C"/>
    <w:rsid w:val="005569C8"/>
    <w:rsid w:val="00556A3A"/>
    <w:rsid w:val="00556A5D"/>
    <w:rsid w:val="00556C98"/>
    <w:rsid w:val="005577D2"/>
    <w:rsid w:val="00557828"/>
    <w:rsid w:val="00557C6D"/>
    <w:rsid w:val="005600BF"/>
    <w:rsid w:val="005602BA"/>
    <w:rsid w:val="00560C6A"/>
    <w:rsid w:val="00561273"/>
    <w:rsid w:val="0056130D"/>
    <w:rsid w:val="00561397"/>
    <w:rsid w:val="005615DF"/>
    <w:rsid w:val="00561F28"/>
    <w:rsid w:val="005620AD"/>
    <w:rsid w:val="0056210F"/>
    <w:rsid w:val="00562C6F"/>
    <w:rsid w:val="00563DFA"/>
    <w:rsid w:val="0056400D"/>
    <w:rsid w:val="005646E5"/>
    <w:rsid w:val="0056498C"/>
    <w:rsid w:val="005657BB"/>
    <w:rsid w:val="00565B50"/>
    <w:rsid w:val="0056609A"/>
    <w:rsid w:val="005665CA"/>
    <w:rsid w:val="00566CD9"/>
    <w:rsid w:val="00566DBB"/>
    <w:rsid w:val="00566FE9"/>
    <w:rsid w:val="00567850"/>
    <w:rsid w:val="00567D0E"/>
    <w:rsid w:val="005708F0"/>
    <w:rsid w:val="00570CAC"/>
    <w:rsid w:val="00570DED"/>
    <w:rsid w:val="00571075"/>
    <w:rsid w:val="0057176F"/>
    <w:rsid w:val="00571CC9"/>
    <w:rsid w:val="00572B92"/>
    <w:rsid w:val="00573E76"/>
    <w:rsid w:val="00574905"/>
    <w:rsid w:val="00574CBB"/>
    <w:rsid w:val="0057501E"/>
    <w:rsid w:val="00575730"/>
    <w:rsid w:val="0057646B"/>
    <w:rsid w:val="00580978"/>
    <w:rsid w:val="00580F9B"/>
    <w:rsid w:val="005818DF"/>
    <w:rsid w:val="00583315"/>
    <w:rsid w:val="00583DEF"/>
    <w:rsid w:val="0058460D"/>
    <w:rsid w:val="00585DD1"/>
    <w:rsid w:val="0058613A"/>
    <w:rsid w:val="00586711"/>
    <w:rsid w:val="005871C1"/>
    <w:rsid w:val="005877A0"/>
    <w:rsid w:val="00587D2A"/>
    <w:rsid w:val="0059009D"/>
    <w:rsid w:val="00590353"/>
    <w:rsid w:val="0059062D"/>
    <w:rsid w:val="00591E66"/>
    <w:rsid w:val="00592027"/>
    <w:rsid w:val="00592B91"/>
    <w:rsid w:val="00592EC5"/>
    <w:rsid w:val="00592FB6"/>
    <w:rsid w:val="00593503"/>
    <w:rsid w:val="005936DB"/>
    <w:rsid w:val="00593AD3"/>
    <w:rsid w:val="00595411"/>
    <w:rsid w:val="0059571F"/>
    <w:rsid w:val="00595843"/>
    <w:rsid w:val="00596BA8"/>
    <w:rsid w:val="00597B81"/>
    <w:rsid w:val="00597D71"/>
    <w:rsid w:val="005A03D9"/>
    <w:rsid w:val="005A056D"/>
    <w:rsid w:val="005A069E"/>
    <w:rsid w:val="005A0A41"/>
    <w:rsid w:val="005A0AA0"/>
    <w:rsid w:val="005A0B3D"/>
    <w:rsid w:val="005A1B14"/>
    <w:rsid w:val="005A2019"/>
    <w:rsid w:val="005A2064"/>
    <w:rsid w:val="005A2803"/>
    <w:rsid w:val="005A2871"/>
    <w:rsid w:val="005A2F98"/>
    <w:rsid w:val="005A31F8"/>
    <w:rsid w:val="005A3494"/>
    <w:rsid w:val="005A46A2"/>
    <w:rsid w:val="005A5884"/>
    <w:rsid w:val="005A59AF"/>
    <w:rsid w:val="005A678F"/>
    <w:rsid w:val="005A6F1C"/>
    <w:rsid w:val="005A7018"/>
    <w:rsid w:val="005A7161"/>
    <w:rsid w:val="005A75EC"/>
    <w:rsid w:val="005A793F"/>
    <w:rsid w:val="005A7968"/>
    <w:rsid w:val="005A7BB5"/>
    <w:rsid w:val="005A7EF9"/>
    <w:rsid w:val="005B047F"/>
    <w:rsid w:val="005B07FB"/>
    <w:rsid w:val="005B0B90"/>
    <w:rsid w:val="005B216E"/>
    <w:rsid w:val="005B22FC"/>
    <w:rsid w:val="005B2792"/>
    <w:rsid w:val="005B2DBC"/>
    <w:rsid w:val="005B2E5E"/>
    <w:rsid w:val="005B2EC9"/>
    <w:rsid w:val="005B3B4D"/>
    <w:rsid w:val="005B3C59"/>
    <w:rsid w:val="005B3D23"/>
    <w:rsid w:val="005B4119"/>
    <w:rsid w:val="005B43A2"/>
    <w:rsid w:val="005B5005"/>
    <w:rsid w:val="005B50CD"/>
    <w:rsid w:val="005B6FB5"/>
    <w:rsid w:val="005B7280"/>
    <w:rsid w:val="005B7CDC"/>
    <w:rsid w:val="005B7D69"/>
    <w:rsid w:val="005C0151"/>
    <w:rsid w:val="005C0451"/>
    <w:rsid w:val="005C12C2"/>
    <w:rsid w:val="005C159C"/>
    <w:rsid w:val="005C16A2"/>
    <w:rsid w:val="005C37C4"/>
    <w:rsid w:val="005C3CAD"/>
    <w:rsid w:val="005C3EEC"/>
    <w:rsid w:val="005C4718"/>
    <w:rsid w:val="005C6886"/>
    <w:rsid w:val="005C6CA5"/>
    <w:rsid w:val="005C6F2C"/>
    <w:rsid w:val="005C7AE0"/>
    <w:rsid w:val="005C7BD0"/>
    <w:rsid w:val="005D0264"/>
    <w:rsid w:val="005D0443"/>
    <w:rsid w:val="005D0503"/>
    <w:rsid w:val="005D09CB"/>
    <w:rsid w:val="005D0AC5"/>
    <w:rsid w:val="005D0CB9"/>
    <w:rsid w:val="005D0E1C"/>
    <w:rsid w:val="005D10D0"/>
    <w:rsid w:val="005D18BE"/>
    <w:rsid w:val="005D1AC6"/>
    <w:rsid w:val="005D284A"/>
    <w:rsid w:val="005D2B00"/>
    <w:rsid w:val="005D303F"/>
    <w:rsid w:val="005D4A90"/>
    <w:rsid w:val="005D52BB"/>
    <w:rsid w:val="005D52F2"/>
    <w:rsid w:val="005D6314"/>
    <w:rsid w:val="005D69CF"/>
    <w:rsid w:val="005D6C44"/>
    <w:rsid w:val="005D73A8"/>
    <w:rsid w:val="005D73ED"/>
    <w:rsid w:val="005D7693"/>
    <w:rsid w:val="005D790D"/>
    <w:rsid w:val="005E0314"/>
    <w:rsid w:val="005E0AE3"/>
    <w:rsid w:val="005E0B27"/>
    <w:rsid w:val="005E1315"/>
    <w:rsid w:val="005E16AA"/>
    <w:rsid w:val="005E2264"/>
    <w:rsid w:val="005E2AB5"/>
    <w:rsid w:val="005E35A9"/>
    <w:rsid w:val="005E3AD9"/>
    <w:rsid w:val="005E4376"/>
    <w:rsid w:val="005E4423"/>
    <w:rsid w:val="005E4889"/>
    <w:rsid w:val="005E4BE3"/>
    <w:rsid w:val="005E5424"/>
    <w:rsid w:val="005E5ED3"/>
    <w:rsid w:val="005E646F"/>
    <w:rsid w:val="005E6DBD"/>
    <w:rsid w:val="005E74DE"/>
    <w:rsid w:val="005E768A"/>
    <w:rsid w:val="005F03A9"/>
    <w:rsid w:val="005F1578"/>
    <w:rsid w:val="005F1D79"/>
    <w:rsid w:val="005F1DBA"/>
    <w:rsid w:val="005F29A4"/>
    <w:rsid w:val="005F336A"/>
    <w:rsid w:val="005F4723"/>
    <w:rsid w:val="005F5945"/>
    <w:rsid w:val="005F5C06"/>
    <w:rsid w:val="005F5D46"/>
    <w:rsid w:val="005F6868"/>
    <w:rsid w:val="005F6DF0"/>
    <w:rsid w:val="005F74A5"/>
    <w:rsid w:val="005F757E"/>
    <w:rsid w:val="005F75A8"/>
    <w:rsid w:val="006001AF"/>
    <w:rsid w:val="006007A9"/>
    <w:rsid w:val="00600CE7"/>
    <w:rsid w:val="0060139B"/>
    <w:rsid w:val="006013AA"/>
    <w:rsid w:val="00601733"/>
    <w:rsid w:val="00601B9D"/>
    <w:rsid w:val="006029F2"/>
    <w:rsid w:val="00602BCC"/>
    <w:rsid w:val="00602D21"/>
    <w:rsid w:val="006040BC"/>
    <w:rsid w:val="00604364"/>
    <w:rsid w:val="00605DA0"/>
    <w:rsid w:val="006062CD"/>
    <w:rsid w:val="00606919"/>
    <w:rsid w:val="00606ABE"/>
    <w:rsid w:val="006073E9"/>
    <w:rsid w:val="00607BA5"/>
    <w:rsid w:val="006104CD"/>
    <w:rsid w:val="00610502"/>
    <w:rsid w:val="00610FBE"/>
    <w:rsid w:val="0061108E"/>
    <w:rsid w:val="0061116C"/>
    <w:rsid w:val="0061170E"/>
    <w:rsid w:val="00611C1A"/>
    <w:rsid w:val="006120EF"/>
    <w:rsid w:val="00612659"/>
    <w:rsid w:val="00613272"/>
    <w:rsid w:val="006133CF"/>
    <w:rsid w:val="006135D8"/>
    <w:rsid w:val="00613712"/>
    <w:rsid w:val="00615370"/>
    <w:rsid w:val="006155B4"/>
    <w:rsid w:val="0061563A"/>
    <w:rsid w:val="00616841"/>
    <w:rsid w:val="0061732E"/>
    <w:rsid w:val="006200CC"/>
    <w:rsid w:val="006202C1"/>
    <w:rsid w:val="00620DD7"/>
    <w:rsid w:val="006212A2"/>
    <w:rsid w:val="00621312"/>
    <w:rsid w:val="006219B1"/>
    <w:rsid w:val="00621B6F"/>
    <w:rsid w:val="00621BBC"/>
    <w:rsid w:val="00621D38"/>
    <w:rsid w:val="006224D6"/>
    <w:rsid w:val="0062372C"/>
    <w:rsid w:val="00623EC8"/>
    <w:rsid w:val="00624581"/>
    <w:rsid w:val="006245D4"/>
    <w:rsid w:val="00624870"/>
    <w:rsid w:val="00625A9D"/>
    <w:rsid w:val="006263D7"/>
    <w:rsid w:val="00626B48"/>
    <w:rsid w:val="00626EB6"/>
    <w:rsid w:val="00627121"/>
    <w:rsid w:val="00630091"/>
    <w:rsid w:val="006303F9"/>
    <w:rsid w:val="0063043E"/>
    <w:rsid w:val="006304F3"/>
    <w:rsid w:val="00630718"/>
    <w:rsid w:val="00630A37"/>
    <w:rsid w:val="00630A8F"/>
    <w:rsid w:val="00630FF9"/>
    <w:rsid w:val="006314DC"/>
    <w:rsid w:val="00631D78"/>
    <w:rsid w:val="0063238C"/>
    <w:rsid w:val="0063239E"/>
    <w:rsid w:val="006323B8"/>
    <w:rsid w:val="006323D5"/>
    <w:rsid w:val="00632A76"/>
    <w:rsid w:val="00632BF9"/>
    <w:rsid w:val="00632F63"/>
    <w:rsid w:val="00633CBB"/>
    <w:rsid w:val="00634AB0"/>
    <w:rsid w:val="00634C79"/>
    <w:rsid w:val="00634C7A"/>
    <w:rsid w:val="0063512C"/>
    <w:rsid w:val="00635184"/>
    <w:rsid w:val="006365B4"/>
    <w:rsid w:val="00636689"/>
    <w:rsid w:val="00636918"/>
    <w:rsid w:val="00636BE5"/>
    <w:rsid w:val="006371BF"/>
    <w:rsid w:val="00637263"/>
    <w:rsid w:val="0063752C"/>
    <w:rsid w:val="006400E8"/>
    <w:rsid w:val="0064034D"/>
    <w:rsid w:val="00641203"/>
    <w:rsid w:val="006414D3"/>
    <w:rsid w:val="006415D4"/>
    <w:rsid w:val="00641B5D"/>
    <w:rsid w:val="00641D11"/>
    <w:rsid w:val="0064217C"/>
    <w:rsid w:val="00642254"/>
    <w:rsid w:val="00642507"/>
    <w:rsid w:val="00642C98"/>
    <w:rsid w:val="00642E28"/>
    <w:rsid w:val="00642FFA"/>
    <w:rsid w:val="00643EBB"/>
    <w:rsid w:val="006441B5"/>
    <w:rsid w:val="006442EB"/>
    <w:rsid w:val="006443F6"/>
    <w:rsid w:val="0064486D"/>
    <w:rsid w:val="00644CD6"/>
    <w:rsid w:val="006460BE"/>
    <w:rsid w:val="00646A23"/>
    <w:rsid w:val="00646ABE"/>
    <w:rsid w:val="0064718A"/>
    <w:rsid w:val="00647D45"/>
    <w:rsid w:val="00647E17"/>
    <w:rsid w:val="00650719"/>
    <w:rsid w:val="006508D1"/>
    <w:rsid w:val="00650961"/>
    <w:rsid w:val="00652A32"/>
    <w:rsid w:val="006541A2"/>
    <w:rsid w:val="00654697"/>
    <w:rsid w:val="00654DD4"/>
    <w:rsid w:val="00655008"/>
    <w:rsid w:val="006554C2"/>
    <w:rsid w:val="0065558F"/>
    <w:rsid w:val="0065564E"/>
    <w:rsid w:val="00655D03"/>
    <w:rsid w:val="00656605"/>
    <w:rsid w:val="00656789"/>
    <w:rsid w:val="00656C38"/>
    <w:rsid w:val="00656CAF"/>
    <w:rsid w:val="00657022"/>
    <w:rsid w:val="006574CA"/>
    <w:rsid w:val="00657BCF"/>
    <w:rsid w:val="00657E0B"/>
    <w:rsid w:val="00657E46"/>
    <w:rsid w:val="006605A9"/>
    <w:rsid w:val="006605BE"/>
    <w:rsid w:val="00660785"/>
    <w:rsid w:val="00660AEA"/>
    <w:rsid w:val="00661B7D"/>
    <w:rsid w:val="00661FF7"/>
    <w:rsid w:val="006623D1"/>
    <w:rsid w:val="006628D1"/>
    <w:rsid w:val="0066324C"/>
    <w:rsid w:val="006634BE"/>
    <w:rsid w:val="00663605"/>
    <w:rsid w:val="00663AAF"/>
    <w:rsid w:val="006641AE"/>
    <w:rsid w:val="006642C3"/>
    <w:rsid w:val="00664391"/>
    <w:rsid w:val="00666054"/>
    <w:rsid w:val="00666460"/>
    <w:rsid w:val="006668B5"/>
    <w:rsid w:val="00666D37"/>
    <w:rsid w:val="00667231"/>
    <w:rsid w:val="00667625"/>
    <w:rsid w:val="00667695"/>
    <w:rsid w:val="00667812"/>
    <w:rsid w:val="00667E88"/>
    <w:rsid w:val="00667FC8"/>
    <w:rsid w:val="006700A5"/>
    <w:rsid w:val="0067017C"/>
    <w:rsid w:val="006707A7"/>
    <w:rsid w:val="00670A4A"/>
    <w:rsid w:val="00670DB6"/>
    <w:rsid w:val="00671119"/>
    <w:rsid w:val="006715C6"/>
    <w:rsid w:val="00671BDB"/>
    <w:rsid w:val="00672940"/>
    <w:rsid w:val="00672958"/>
    <w:rsid w:val="006732F7"/>
    <w:rsid w:val="00674322"/>
    <w:rsid w:val="0067441B"/>
    <w:rsid w:val="00674698"/>
    <w:rsid w:val="00674C28"/>
    <w:rsid w:val="0067534B"/>
    <w:rsid w:val="00675B02"/>
    <w:rsid w:val="00675DBF"/>
    <w:rsid w:val="00676076"/>
    <w:rsid w:val="0067665D"/>
    <w:rsid w:val="00676705"/>
    <w:rsid w:val="0067677A"/>
    <w:rsid w:val="00676861"/>
    <w:rsid w:val="006769FE"/>
    <w:rsid w:val="00676D69"/>
    <w:rsid w:val="00677134"/>
    <w:rsid w:val="00677FA2"/>
    <w:rsid w:val="006805ED"/>
    <w:rsid w:val="00680746"/>
    <w:rsid w:val="006812DA"/>
    <w:rsid w:val="00681731"/>
    <w:rsid w:val="006829A2"/>
    <w:rsid w:val="00682EA0"/>
    <w:rsid w:val="00682F04"/>
    <w:rsid w:val="00682F48"/>
    <w:rsid w:val="00683851"/>
    <w:rsid w:val="00683A82"/>
    <w:rsid w:val="00683F84"/>
    <w:rsid w:val="00683F8B"/>
    <w:rsid w:val="0068411A"/>
    <w:rsid w:val="006850B7"/>
    <w:rsid w:val="006853E1"/>
    <w:rsid w:val="00685BB9"/>
    <w:rsid w:val="006904B2"/>
    <w:rsid w:val="00690A2D"/>
    <w:rsid w:val="006910D4"/>
    <w:rsid w:val="006914AA"/>
    <w:rsid w:val="006916EE"/>
    <w:rsid w:val="006924FE"/>
    <w:rsid w:val="006926AC"/>
    <w:rsid w:val="00692E37"/>
    <w:rsid w:val="0069305D"/>
    <w:rsid w:val="006933E2"/>
    <w:rsid w:val="00693CE2"/>
    <w:rsid w:val="006945BF"/>
    <w:rsid w:val="00694A59"/>
    <w:rsid w:val="00694DE9"/>
    <w:rsid w:val="00696183"/>
    <w:rsid w:val="00697127"/>
    <w:rsid w:val="006A10B3"/>
    <w:rsid w:val="006A1143"/>
    <w:rsid w:val="006A138E"/>
    <w:rsid w:val="006A1BA1"/>
    <w:rsid w:val="006A1E32"/>
    <w:rsid w:val="006A1F4D"/>
    <w:rsid w:val="006A20AC"/>
    <w:rsid w:val="006A2D5A"/>
    <w:rsid w:val="006A2F95"/>
    <w:rsid w:val="006A5E0A"/>
    <w:rsid w:val="006A607B"/>
    <w:rsid w:val="006A6352"/>
    <w:rsid w:val="006A6A81"/>
    <w:rsid w:val="006A7BB2"/>
    <w:rsid w:val="006A7DFE"/>
    <w:rsid w:val="006A7EC0"/>
    <w:rsid w:val="006B08F5"/>
    <w:rsid w:val="006B0A90"/>
    <w:rsid w:val="006B0DC0"/>
    <w:rsid w:val="006B16D8"/>
    <w:rsid w:val="006B1704"/>
    <w:rsid w:val="006B1998"/>
    <w:rsid w:val="006B1A24"/>
    <w:rsid w:val="006B1F96"/>
    <w:rsid w:val="006B2325"/>
    <w:rsid w:val="006B2F92"/>
    <w:rsid w:val="006B3A19"/>
    <w:rsid w:val="006B3ABD"/>
    <w:rsid w:val="006B491A"/>
    <w:rsid w:val="006B6A6A"/>
    <w:rsid w:val="006B6A86"/>
    <w:rsid w:val="006B74A7"/>
    <w:rsid w:val="006B7979"/>
    <w:rsid w:val="006B7AEC"/>
    <w:rsid w:val="006B7BED"/>
    <w:rsid w:val="006C00D8"/>
    <w:rsid w:val="006C0613"/>
    <w:rsid w:val="006C09E5"/>
    <w:rsid w:val="006C0ED3"/>
    <w:rsid w:val="006C13E5"/>
    <w:rsid w:val="006C24F7"/>
    <w:rsid w:val="006C3145"/>
    <w:rsid w:val="006C315D"/>
    <w:rsid w:val="006C3199"/>
    <w:rsid w:val="006C3B0B"/>
    <w:rsid w:val="006C3ECD"/>
    <w:rsid w:val="006C422B"/>
    <w:rsid w:val="006C46FC"/>
    <w:rsid w:val="006C5B76"/>
    <w:rsid w:val="006C6772"/>
    <w:rsid w:val="006C6814"/>
    <w:rsid w:val="006C72D3"/>
    <w:rsid w:val="006C74C5"/>
    <w:rsid w:val="006C77AE"/>
    <w:rsid w:val="006C794B"/>
    <w:rsid w:val="006D0025"/>
    <w:rsid w:val="006D07E5"/>
    <w:rsid w:val="006D0C2D"/>
    <w:rsid w:val="006D14F6"/>
    <w:rsid w:val="006D1652"/>
    <w:rsid w:val="006D22A0"/>
    <w:rsid w:val="006D23B5"/>
    <w:rsid w:val="006D2CA8"/>
    <w:rsid w:val="006D301A"/>
    <w:rsid w:val="006D36F8"/>
    <w:rsid w:val="006D41FC"/>
    <w:rsid w:val="006D5DBA"/>
    <w:rsid w:val="006D68DE"/>
    <w:rsid w:val="006D6B3C"/>
    <w:rsid w:val="006D6C0C"/>
    <w:rsid w:val="006D70F3"/>
    <w:rsid w:val="006D744C"/>
    <w:rsid w:val="006D7B70"/>
    <w:rsid w:val="006D7C4E"/>
    <w:rsid w:val="006E039C"/>
    <w:rsid w:val="006E05CD"/>
    <w:rsid w:val="006E0ACF"/>
    <w:rsid w:val="006E21AC"/>
    <w:rsid w:val="006E265B"/>
    <w:rsid w:val="006E320F"/>
    <w:rsid w:val="006E39BE"/>
    <w:rsid w:val="006E3E74"/>
    <w:rsid w:val="006E40CE"/>
    <w:rsid w:val="006E4172"/>
    <w:rsid w:val="006E41C4"/>
    <w:rsid w:val="006E4A82"/>
    <w:rsid w:val="006E4E68"/>
    <w:rsid w:val="006E5DAD"/>
    <w:rsid w:val="006E5E75"/>
    <w:rsid w:val="006E6797"/>
    <w:rsid w:val="006E69C0"/>
    <w:rsid w:val="006F0286"/>
    <w:rsid w:val="006F0BCF"/>
    <w:rsid w:val="006F1295"/>
    <w:rsid w:val="006F130C"/>
    <w:rsid w:val="006F1448"/>
    <w:rsid w:val="006F2750"/>
    <w:rsid w:val="006F29B2"/>
    <w:rsid w:val="006F346A"/>
    <w:rsid w:val="006F36AC"/>
    <w:rsid w:val="006F40C2"/>
    <w:rsid w:val="006F44F2"/>
    <w:rsid w:val="006F4DE7"/>
    <w:rsid w:val="006F4E98"/>
    <w:rsid w:val="006F5EB0"/>
    <w:rsid w:val="006F6B96"/>
    <w:rsid w:val="006F6D53"/>
    <w:rsid w:val="006F6F89"/>
    <w:rsid w:val="006F7393"/>
    <w:rsid w:val="00700462"/>
    <w:rsid w:val="007010F8"/>
    <w:rsid w:val="00701971"/>
    <w:rsid w:val="0070224F"/>
    <w:rsid w:val="00702936"/>
    <w:rsid w:val="0070294D"/>
    <w:rsid w:val="00703144"/>
    <w:rsid w:val="00703535"/>
    <w:rsid w:val="007036E3"/>
    <w:rsid w:val="00703B98"/>
    <w:rsid w:val="00703FE6"/>
    <w:rsid w:val="0070423E"/>
    <w:rsid w:val="00704266"/>
    <w:rsid w:val="007048D5"/>
    <w:rsid w:val="00704B13"/>
    <w:rsid w:val="007055F2"/>
    <w:rsid w:val="007059AE"/>
    <w:rsid w:val="00706E53"/>
    <w:rsid w:val="00706E84"/>
    <w:rsid w:val="00706F97"/>
    <w:rsid w:val="00707CA2"/>
    <w:rsid w:val="00710C7B"/>
    <w:rsid w:val="00710DDD"/>
    <w:rsid w:val="007115F7"/>
    <w:rsid w:val="00711841"/>
    <w:rsid w:val="007118BB"/>
    <w:rsid w:val="00711BBD"/>
    <w:rsid w:val="00711D7B"/>
    <w:rsid w:val="0071325A"/>
    <w:rsid w:val="00713924"/>
    <w:rsid w:val="00713DAC"/>
    <w:rsid w:val="007148F3"/>
    <w:rsid w:val="00714EA2"/>
    <w:rsid w:val="00714F73"/>
    <w:rsid w:val="00715A47"/>
    <w:rsid w:val="007167CF"/>
    <w:rsid w:val="00716BEC"/>
    <w:rsid w:val="007177CE"/>
    <w:rsid w:val="00717BDE"/>
    <w:rsid w:val="007206BF"/>
    <w:rsid w:val="007207DC"/>
    <w:rsid w:val="00721357"/>
    <w:rsid w:val="00721A0D"/>
    <w:rsid w:val="007221DC"/>
    <w:rsid w:val="00722427"/>
    <w:rsid w:val="0072257A"/>
    <w:rsid w:val="00723136"/>
    <w:rsid w:val="00723F48"/>
    <w:rsid w:val="007241C9"/>
    <w:rsid w:val="0072461E"/>
    <w:rsid w:val="007246FF"/>
    <w:rsid w:val="00725030"/>
    <w:rsid w:val="00725926"/>
    <w:rsid w:val="007272D3"/>
    <w:rsid w:val="007275D9"/>
    <w:rsid w:val="0073088C"/>
    <w:rsid w:val="007313FE"/>
    <w:rsid w:val="0073152E"/>
    <w:rsid w:val="00731DF2"/>
    <w:rsid w:val="00732145"/>
    <w:rsid w:val="007321D4"/>
    <w:rsid w:val="00733144"/>
    <w:rsid w:val="00734379"/>
    <w:rsid w:val="00734E48"/>
    <w:rsid w:val="0073502E"/>
    <w:rsid w:val="00735414"/>
    <w:rsid w:val="00735C88"/>
    <w:rsid w:val="00735CCE"/>
    <w:rsid w:val="00735EE1"/>
    <w:rsid w:val="0073600D"/>
    <w:rsid w:val="00736673"/>
    <w:rsid w:val="00736ADF"/>
    <w:rsid w:val="00736CD5"/>
    <w:rsid w:val="007371C0"/>
    <w:rsid w:val="0073794F"/>
    <w:rsid w:val="007401CE"/>
    <w:rsid w:val="00740379"/>
    <w:rsid w:val="00742694"/>
    <w:rsid w:val="0074333B"/>
    <w:rsid w:val="007440C8"/>
    <w:rsid w:val="00744D10"/>
    <w:rsid w:val="0074523B"/>
    <w:rsid w:val="00745764"/>
    <w:rsid w:val="0074615A"/>
    <w:rsid w:val="007467D4"/>
    <w:rsid w:val="0074684D"/>
    <w:rsid w:val="0074760F"/>
    <w:rsid w:val="00747B1A"/>
    <w:rsid w:val="00747BBD"/>
    <w:rsid w:val="00747E86"/>
    <w:rsid w:val="007500C6"/>
    <w:rsid w:val="00750281"/>
    <w:rsid w:val="00750C17"/>
    <w:rsid w:val="0075167D"/>
    <w:rsid w:val="0075173B"/>
    <w:rsid w:val="007519A2"/>
    <w:rsid w:val="00752151"/>
    <w:rsid w:val="007523E4"/>
    <w:rsid w:val="007524AD"/>
    <w:rsid w:val="00752760"/>
    <w:rsid w:val="00752986"/>
    <w:rsid w:val="00752B12"/>
    <w:rsid w:val="007531D1"/>
    <w:rsid w:val="00753A16"/>
    <w:rsid w:val="007546E3"/>
    <w:rsid w:val="00755C2D"/>
    <w:rsid w:val="00757099"/>
    <w:rsid w:val="007604BB"/>
    <w:rsid w:val="00760911"/>
    <w:rsid w:val="007609AB"/>
    <w:rsid w:val="007612BC"/>
    <w:rsid w:val="007619E4"/>
    <w:rsid w:val="00761BDF"/>
    <w:rsid w:val="00761E3C"/>
    <w:rsid w:val="00761EDE"/>
    <w:rsid w:val="00762C41"/>
    <w:rsid w:val="00762DE2"/>
    <w:rsid w:val="007633EE"/>
    <w:rsid w:val="00763EE4"/>
    <w:rsid w:val="007645EB"/>
    <w:rsid w:val="00764EE6"/>
    <w:rsid w:val="00765ED9"/>
    <w:rsid w:val="00766216"/>
    <w:rsid w:val="0076642F"/>
    <w:rsid w:val="00766CA6"/>
    <w:rsid w:val="0076766D"/>
    <w:rsid w:val="00767857"/>
    <w:rsid w:val="00767A02"/>
    <w:rsid w:val="00767D93"/>
    <w:rsid w:val="00767DD8"/>
    <w:rsid w:val="00770058"/>
    <w:rsid w:val="00770493"/>
    <w:rsid w:val="00771DD9"/>
    <w:rsid w:val="00771F11"/>
    <w:rsid w:val="00772E6A"/>
    <w:rsid w:val="007736D7"/>
    <w:rsid w:val="00773742"/>
    <w:rsid w:val="00773855"/>
    <w:rsid w:val="007738B2"/>
    <w:rsid w:val="00773951"/>
    <w:rsid w:val="00773B18"/>
    <w:rsid w:val="007742AC"/>
    <w:rsid w:val="0077490B"/>
    <w:rsid w:val="00774FC2"/>
    <w:rsid w:val="007751A1"/>
    <w:rsid w:val="007752C9"/>
    <w:rsid w:val="00775933"/>
    <w:rsid w:val="00775E41"/>
    <w:rsid w:val="00775EDB"/>
    <w:rsid w:val="00775EDD"/>
    <w:rsid w:val="0077642A"/>
    <w:rsid w:val="00776B16"/>
    <w:rsid w:val="00776EC1"/>
    <w:rsid w:val="00777FE8"/>
    <w:rsid w:val="007800AB"/>
    <w:rsid w:val="007801C9"/>
    <w:rsid w:val="00780DE0"/>
    <w:rsid w:val="007818EE"/>
    <w:rsid w:val="00782339"/>
    <w:rsid w:val="00782450"/>
    <w:rsid w:val="00784704"/>
    <w:rsid w:val="0078559E"/>
    <w:rsid w:val="00785689"/>
    <w:rsid w:val="00785A17"/>
    <w:rsid w:val="00785F69"/>
    <w:rsid w:val="00786CFC"/>
    <w:rsid w:val="00786F86"/>
    <w:rsid w:val="00787749"/>
    <w:rsid w:val="00787A07"/>
    <w:rsid w:val="00787D83"/>
    <w:rsid w:val="00791130"/>
    <w:rsid w:val="007915F5"/>
    <w:rsid w:val="00791656"/>
    <w:rsid w:val="00792299"/>
    <w:rsid w:val="00792716"/>
    <w:rsid w:val="00792883"/>
    <w:rsid w:val="00792CFF"/>
    <w:rsid w:val="007931DC"/>
    <w:rsid w:val="00793AB8"/>
    <w:rsid w:val="00794050"/>
    <w:rsid w:val="00794769"/>
    <w:rsid w:val="00794E79"/>
    <w:rsid w:val="007961FC"/>
    <w:rsid w:val="007963E3"/>
    <w:rsid w:val="00796AF6"/>
    <w:rsid w:val="00797030"/>
    <w:rsid w:val="007972B3"/>
    <w:rsid w:val="00797506"/>
    <w:rsid w:val="0079754B"/>
    <w:rsid w:val="007A0097"/>
    <w:rsid w:val="007A05FE"/>
    <w:rsid w:val="007A1433"/>
    <w:rsid w:val="007A14E5"/>
    <w:rsid w:val="007A1577"/>
    <w:rsid w:val="007A16B7"/>
    <w:rsid w:val="007A1E6D"/>
    <w:rsid w:val="007A25C1"/>
    <w:rsid w:val="007A2A74"/>
    <w:rsid w:val="007A3771"/>
    <w:rsid w:val="007A3D0D"/>
    <w:rsid w:val="007A46FA"/>
    <w:rsid w:val="007A4EF9"/>
    <w:rsid w:val="007A509E"/>
    <w:rsid w:val="007A53D9"/>
    <w:rsid w:val="007A5CC6"/>
    <w:rsid w:val="007A611B"/>
    <w:rsid w:val="007A630A"/>
    <w:rsid w:val="007A6AB6"/>
    <w:rsid w:val="007A6C1C"/>
    <w:rsid w:val="007A709C"/>
    <w:rsid w:val="007A7704"/>
    <w:rsid w:val="007A7A19"/>
    <w:rsid w:val="007A7D0F"/>
    <w:rsid w:val="007A7D75"/>
    <w:rsid w:val="007A7F30"/>
    <w:rsid w:val="007B0305"/>
    <w:rsid w:val="007B0ACE"/>
    <w:rsid w:val="007B1466"/>
    <w:rsid w:val="007B1638"/>
    <w:rsid w:val="007B172F"/>
    <w:rsid w:val="007B23B1"/>
    <w:rsid w:val="007B2ACA"/>
    <w:rsid w:val="007B2ED3"/>
    <w:rsid w:val="007B2EF9"/>
    <w:rsid w:val="007B3C88"/>
    <w:rsid w:val="007B483A"/>
    <w:rsid w:val="007B48BD"/>
    <w:rsid w:val="007B4BC9"/>
    <w:rsid w:val="007B4D55"/>
    <w:rsid w:val="007B5176"/>
    <w:rsid w:val="007B5FB8"/>
    <w:rsid w:val="007B61D0"/>
    <w:rsid w:val="007B633E"/>
    <w:rsid w:val="007B6492"/>
    <w:rsid w:val="007B6667"/>
    <w:rsid w:val="007B6738"/>
    <w:rsid w:val="007B6816"/>
    <w:rsid w:val="007B6DA0"/>
    <w:rsid w:val="007B7130"/>
    <w:rsid w:val="007B746F"/>
    <w:rsid w:val="007B77D6"/>
    <w:rsid w:val="007B7AB7"/>
    <w:rsid w:val="007C0582"/>
    <w:rsid w:val="007C126A"/>
    <w:rsid w:val="007C1B6F"/>
    <w:rsid w:val="007C1C31"/>
    <w:rsid w:val="007C2480"/>
    <w:rsid w:val="007C2E7C"/>
    <w:rsid w:val="007C30D3"/>
    <w:rsid w:val="007C3B2C"/>
    <w:rsid w:val="007C4910"/>
    <w:rsid w:val="007C5C0B"/>
    <w:rsid w:val="007C5D43"/>
    <w:rsid w:val="007C5D89"/>
    <w:rsid w:val="007C6085"/>
    <w:rsid w:val="007C6136"/>
    <w:rsid w:val="007C62D4"/>
    <w:rsid w:val="007C7FC6"/>
    <w:rsid w:val="007D0490"/>
    <w:rsid w:val="007D0C3E"/>
    <w:rsid w:val="007D131B"/>
    <w:rsid w:val="007D18A8"/>
    <w:rsid w:val="007D1C3E"/>
    <w:rsid w:val="007D22F7"/>
    <w:rsid w:val="007D2CEB"/>
    <w:rsid w:val="007D2E9E"/>
    <w:rsid w:val="007D3106"/>
    <w:rsid w:val="007D3A0F"/>
    <w:rsid w:val="007D3DC8"/>
    <w:rsid w:val="007D4105"/>
    <w:rsid w:val="007D41C8"/>
    <w:rsid w:val="007D545E"/>
    <w:rsid w:val="007D57ED"/>
    <w:rsid w:val="007D5EDB"/>
    <w:rsid w:val="007D64A9"/>
    <w:rsid w:val="007D64FC"/>
    <w:rsid w:val="007D6618"/>
    <w:rsid w:val="007E1143"/>
    <w:rsid w:val="007E13BC"/>
    <w:rsid w:val="007E1ACA"/>
    <w:rsid w:val="007E25D1"/>
    <w:rsid w:val="007E31AE"/>
    <w:rsid w:val="007E328F"/>
    <w:rsid w:val="007E4167"/>
    <w:rsid w:val="007E485B"/>
    <w:rsid w:val="007E5268"/>
    <w:rsid w:val="007E5730"/>
    <w:rsid w:val="007E6654"/>
    <w:rsid w:val="007E6CE1"/>
    <w:rsid w:val="007E785E"/>
    <w:rsid w:val="007F0325"/>
    <w:rsid w:val="007F0D25"/>
    <w:rsid w:val="007F18B3"/>
    <w:rsid w:val="007F193B"/>
    <w:rsid w:val="007F22AA"/>
    <w:rsid w:val="007F286E"/>
    <w:rsid w:val="007F2A46"/>
    <w:rsid w:val="007F2AE3"/>
    <w:rsid w:val="007F2DA5"/>
    <w:rsid w:val="007F2E95"/>
    <w:rsid w:val="007F2EB6"/>
    <w:rsid w:val="007F33DB"/>
    <w:rsid w:val="007F3442"/>
    <w:rsid w:val="007F4D94"/>
    <w:rsid w:val="007F5B6D"/>
    <w:rsid w:val="007F614D"/>
    <w:rsid w:val="007F67FB"/>
    <w:rsid w:val="007F6ED0"/>
    <w:rsid w:val="007F7477"/>
    <w:rsid w:val="007F7504"/>
    <w:rsid w:val="007F7C8A"/>
    <w:rsid w:val="00800054"/>
    <w:rsid w:val="008008C4"/>
    <w:rsid w:val="00800F27"/>
    <w:rsid w:val="00801AA8"/>
    <w:rsid w:val="008021F3"/>
    <w:rsid w:val="008027C0"/>
    <w:rsid w:val="00802FED"/>
    <w:rsid w:val="00803267"/>
    <w:rsid w:val="0080356B"/>
    <w:rsid w:val="0080359F"/>
    <w:rsid w:val="00804C83"/>
    <w:rsid w:val="00804DEA"/>
    <w:rsid w:val="00805018"/>
    <w:rsid w:val="00805626"/>
    <w:rsid w:val="00806585"/>
    <w:rsid w:val="00806D8C"/>
    <w:rsid w:val="00807458"/>
    <w:rsid w:val="00807912"/>
    <w:rsid w:val="008100FF"/>
    <w:rsid w:val="0081028C"/>
    <w:rsid w:val="00810C01"/>
    <w:rsid w:val="00810CFF"/>
    <w:rsid w:val="00811ACC"/>
    <w:rsid w:val="00811C8D"/>
    <w:rsid w:val="0081225E"/>
    <w:rsid w:val="00812658"/>
    <w:rsid w:val="00812B6C"/>
    <w:rsid w:val="0081450E"/>
    <w:rsid w:val="00814560"/>
    <w:rsid w:val="008149BD"/>
    <w:rsid w:val="00814A40"/>
    <w:rsid w:val="00814A8A"/>
    <w:rsid w:val="00814EA8"/>
    <w:rsid w:val="00817679"/>
    <w:rsid w:val="00817735"/>
    <w:rsid w:val="00817E9A"/>
    <w:rsid w:val="00817F15"/>
    <w:rsid w:val="00820476"/>
    <w:rsid w:val="00820BCC"/>
    <w:rsid w:val="00821639"/>
    <w:rsid w:val="008218D2"/>
    <w:rsid w:val="00821B15"/>
    <w:rsid w:val="00821CF2"/>
    <w:rsid w:val="00822451"/>
    <w:rsid w:val="00822528"/>
    <w:rsid w:val="0082294A"/>
    <w:rsid w:val="00822B74"/>
    <w:rsid w:val="00822CE0"/>
    <w:rsid w:val="008233AE"/>
    <w:rsid w:val="008238C7"/>
    <w:rsid w:val="00823A6D"/>
    <w:rsid w:val="00824268"/>
    <w:rsid w:val="0082465C"/>
    <w:rsid w:val="00824997"/>
    <w:rsid w:val="00824F7F"/>
    <w:rsid w:val="00825B07"/>
    <w:rsid w:val="008267B7"/>
    <w:rsid w:val="00826B60"/>
    <w:rsid w:val="00827007"/>
    <w:rsid w:val="00827428"/>
    <w:rsid w:val="0082788E"/>
    <w:rsid w:val="00830181"/>
    <w:rsid w:val="00830DD8"/>
    <w:rsid w:val="008310CD"/>
    <w:rsid w:val="00831E59"/>
    <w:rsid w:val="00833BA0"/>
    <w:rsid w:val="00834E27"/>
    <w:rsid w:val="00835149"/>
    <w:rsid w:val="00836257"/>
    <w:rsid w:val="00836447"/>
    <w:rsid w:val="00836873"/>
    <w:rsid w:val="00836BFA"/>
    <w:rsid w:val="00836F1D"/>
    <w:rsid w:val="00837399"/>
    <w:rsid w:val="00837F82"/>
    <w:rsid w:val="00840946"/>
    <w:rsid w:val="0084126F"/>
    <w:rsid w:val="008417C8"/>
    <w:rsid w:val="00841AB1"/>
    <w:rsid w:val="00841B45"/>
    <w:rsid w:val="00841DEA"/>
    <w:rsid w:val="0084351C"/>
    <w:rsid w:val="008441D5"/>
    <w:rsid w:val="008442D5"/>
    <w:rsid w:val="00844596"/>
    <w:rsid w:val="00844D19"/>
    <w:rsid w:val="00844FB2"/>
    <w:rsid w:val="008452BB"/>
    <w:rsid w:val="008457C8"/>
    <w:rsid w:val="00845A44"/>
    <w:rsid w:val="00845CA9"/>
    <w:rsid w:val="00845D75"/>
    <w:rsid w:val="0084717A"/>
    <w:rsid w:val="00847B56"/>
    <w:rsid w:val="0085001F"/>
    <w:rsid w:val="008500C9"/>
    <w:rsid w:val="008503C1"/>
    <w:rsid w:val="0085077C"/>
    <w:rsid w:val="00850A29"/>
    <w:rsid w:val="00850D46"/>
    <w:rsid w:val="00852A21"/>
    <w:rsid w:val="00852A4B"/>
    <w:rsid w:val="00852BA2"/>
    <w:rsid w:val="00852EE3"/>
    <w:rsid w:val="008535FB"/>
    <w:rsid w:val="008536CB"/>
    <w:rsid w:val="00853BA1"/>
    <w:rsid w:val="00854142"/>
    <w:rsid w:val="00855118"/>
    <w:rsid w:val="00855FCB"/>
    <w:rsid w:val="00856046"/>
    <w:rsid w:val="00856924"/>
    <w:rsid w:val="00856D2D"/>
    <w:rsid w:val="00856EFB"/>
    <w:rsid w:val="00857015"/>
    <w:rsid w:val="00857196"/>
    <w:rsid w:val="00857862"/>
    <w:rsid w:val="00857A20"/>
    <w:rsid w:val="00860A93"/>
    <w:rsid w:val="0086179B"/>
    <w:rsid w:val="00862CB2"/>
    <w:rsid w:val="008647E2"/>
    <w:rsid w:val="0086518C"/>
    <w:rsid w:val="00865FE0"/>
    <w:rsid w:val="008679CF"/>
    <w:rsid w:val="00867F99"/>
    <w:rsid w:val="00870262"/>
    <w:rsid w:val="008709A7"/>
    <w:rsid w:val="00871413"/>
    <w:rsid w:val="00871791"/>
    <w:rsid w:val="00871E6F"/>
    <w:rsid w:val="0087203A"/>
    <w:rsid w:val="008720D4"/>
    <w:rsid w:val="008724C9"/>
    <w:rsid w:val="00872B1B"/>
    <w:rsid w:val="0087323C"/>
    <w:rsid w:val="00873477"/>
    <w:rsid w:val="00873662"/>
    <w:rsid w:val="00873D25"/>
    <w:rsid w:val="00875F38"/>
    <w:rsid w:val="00876642"/>
    <w:rsid w:val="00876B76"/>
    <w:rsid w:val="00877590"/>
    <w:rsid w:val="00877DD7"/>
    <w:rsid w:val="00877F88"/>
    <w:rsid w:val="00880A54"/>
    <w:rsid w:val="00881007"/>
    <w:rsid w:val="00881ADA"/>
    <w:rsid w:val="00881F79"/>
    <w:rsid w:val="00882C29"/>
    <w:rsid w:val="00882CD7"/>
    <w:rsid w:val="0088329C"/>
    <w:rsid w:val="00883712"/>
    <w:rsid w:val="008839BB"/>
    <w:rsid w:val="00883EFB"/>
    <w:rsid w:val="008841C7"/>
    <w:rsid w:val="0088527F"/>
    <w:rsid w:val="008852B5"/>
    <w:rsid w:val="00886003"/>
    <w:rsid w:val="008864E6"/>
    <w:rsid w:val="008868F5"/>
    <w:rsid w:val="00886B91"/>
    <w:rsid w:val="008873B2"/>
    <w:rsid w:val="00887463"/>
    <w:rsid w:val="0088758F"/>
    <w:rsid w:val="00890234"/>
    <w:rsid w:val="008905C9"/>
    <w:rsid w:val="00890A06"/>
    <w:rsid w:val="0089156A"/>
    <w:rsid w:val="00891CF8"/>
    <w:rsid w:val="0089240B"/>
    <w:rsid w:val="008929F2"/>
    <w:rsid w:val="008933B9"/>
    <w:rsid w:val="0089438C"/>
    <w:rsid w:val="00894533"/>
    <w:rsid w:val="00894A7F"/>
    <w:rsid w:val="00894FC0"/>
    <w:rsid w:val="008965CA"/>
    <w:rsid w:val="00897534"/>
    <w:rsid w:val="00897B47"/>
    <w:rsid w:val="008A09B9"/>
    <w:rsid w:val="008A0D95"/>
    <w:rsid w:val="008A1155"/>
    <w:rsid w:val="008A1274"/>
    <w:rsid w:val="008A1656"/>
    <w:rsid w:val="008A2137"/>
    <w:rsid w:val="008A2343"/>
    <w:rsid w:val="008A237B"/>
    <w:rsid w:val="008A2B2D"/>
    <w:rsid w:val="008A34A9"/>
    <w:rsid w:val="008A3865"/>
    <w:rsid w:val="008A3B94"/>
    <w:rsid w:val="008A3F7E"/>
    <w:rsid w:val="008A404F"/>
    <w:rsid w:val="008A417B"/>
    <w:rsid w:val="008A4294"/>
    <w:rsid w:val="008A4A39"/>
    <w:rsid w:val="008A4B7B"/>
    <w:rsid w:val="008A4BD9"/>
    <w:rsid w:val="008A51DC"/>
    <w:rsid w:val="008A5B33"/>
    <w:rsid w:val="008A5E06"/>
    <w:rsid w:val="008A5FEE"/>
    <w:rsid w:val="008A6C3A"/>
    <w:rsid w:val="008A6FB6"/>
    <w:rsid w:val="008A763A"/>
    <w:rsid w:val="008A7FC9"/>
    <w:rsid w:val="008B0270"/>
    <w:rsid w:val="008B105B"/>
    <w:rsid w:val="008B276E"/>
    <w:rsid w:val="008B33D7"/>
    <w:rsid w:val="008B3E2D"/>
    <w:rsid w:val="008B433C"/>
    <w:rsid w:val="008B46FA"/>
    <w:rsid w:val="008B4827"/>
    <w:rsid w:val="008B4C55"/>
    <w:rsid w:val="008B4FF4"/>
    <w:rsid w:val="008B52F2"/>
    <w:rsid w:val="008B53EE"/>
    <w:rsid w:val="008B5BAC"/>
    <w:rsid w:val="008B5DED"/>
    <w:rsid w:val="008B64EF"/>
    <w:rsid w:val="008B73E4"/>
    <w:rsid w:val="008B7DA6"/>
    <w:rsid w:val="008B7E75"/>
    <w:rsid w:val="008C051C"/>
    <w:rsid w:val="008C0A5F"/>
    <w:rsid w:val="008C0A7F"/>
    <w:rsid w:val="008C1CE3"/>
    <w:rsid w:val="008C1EEF"/>
    <w:rsid w:val="008C2BC7"/>
    <w:rsid w:val="008C2F23"/>
    <w:rsid w:val="008C2F72"/>
    <w:rsid w:val="008C3307"/>
    <w:rsid w:val="008C3539"/>
    <w:rsid w:val="008C3AE9"/>
    <w:rsid w:val="008C479D"/>
    <w:rsid w:val="008C4E14"/>
    <w:rsid w:val="008C5EDB"/>
    <w:rsid w:val="008C6B84"/>
    <w:rsid w:val="008C7344"/>
    <w:rsid w:val="008C74DD"/>
    <w:rsid w:val="008C78C8"/>
    <w:rsid w:val="008C7EB6"/>
    <w:rsid w:val="008D074A"/>
    <w:rsid w:val="008D11A6"/>
    <w:rsid w:val="008D1219"/>
    <w:rsid w:val="008D169D"/>
    <w:rsid w:val="008D256B"/>
    <w:rsid w:val="008D27D0"/>
    <w:rsid w:val="008D2980"/>
    <w:rsid w:val="008D2BFB"/>
    <w:rsid w:val="008D40D6"/>
    <w:rsid w:val="008D45AB"/>
    <w:rsid w:val="008D4943"/>
    <w:rsid w:val="008D565B"/>
    <w:rsid w:val="008D5AC1"/>
    <w:rsid w:val="008D61C7"/>
    <w:rsid w:val="008D6380"/>
    <w:rsid w:val="008D6613"/>
    <w:rsid w:val="008D703B"/>
    <w:rsid w:val="008D7092"/>
    <w:rsid w:val="008D76B0"/>
    <w:rsid w:val="008D7A51"/>
    <w:rsid w:val="008D7DAD"/>
    <w:rsid w:val="008E1499"/>
    <w:rsid w:val="008E14AA"/>
    <w:rsid w:val="008E151F"/>
    <w:rsid w:val="008E173B"/>
    <w:rsid w:val="008E1F16"/>
    <w:rsid w:val="008E2D43"/>
    <w:rsid w:val="008E31EA"/>
    <w:rsid w:val="008E3A5A"/>
    <w:rsid w:val="008E3B39"/>
    <w:rsid w:val="008E4067"/>
    <w:rsid w:val="008E406D"/>
    <w:rsid w:val="008E4644"/>
    <w:rsid w:val="008E4DA4"/>
    <w:rsid w:val="008E4E6C"/>
    <w:rsid w:val="008E50C3"/>
    <w:rsid w:val="008E636C"/>
    <w:rsid w:val="008E63D7"/>
    <w:rsid w:val="008E7376"/>
    <w:rsid w:val="008E74D3"/>
    <w:rsid w:val="008E75C7"/>
    <w:rsid w:val="008E75F3"/>
    <w:rsid w:val="008E7F5B"/>
    <w:rsid w:val="008F00C9"/>
    <w:rsid w:val="008F037E"/>
    <w:rsid w:val="008F1125"/>
    <w:rsid w:val="008F1FAF"/>
    <w:rsid w:val="008F3D2D"/>
    <w:rsid w:val="008F46DE"/>
    <w:rsid w:val="008F4732"/>
    <w:rsid w:val="008F4E5C"/>
    <w:rsid w:val="008F5D9C"/>
    <w:rsid w:val="008F5E95"/>
    <w:rsid w:val="008F5FDA"/>
    <w:rsid w:val="008F62C7"/>
    <w:rsid w:val="008F76AB"/>
    <w:rsid w:val="008F7C7F"/>
    <w:rsid w:val="0090026E"/>
    <w:rsid w:val="00901009"/>
    <w:rsid w:val="00901197"/>
    <w:rsid w:val="0090188A"/>
    <w:rsid w:val="00901FC3"/>
    <w:rsid w:val="00902175"/>
    <w:rsid w:val="009023CF"/>
    <w:rsid w:val="00902562"/>
    <w:rsid w:val="00902B79"/>
    <w:rsid w:val="0090305C"/>
    <w:rsid w:val="00904B04"/>
    <w:rsid w:val="00905269"/>
    <w:rsid w:val="00905ED4"/>
    <w:rsid w:val="00906CE6"/>
    <w:rsid w:val="00906FB0"/>
    <w:rsid w:val="00907B25"/>
    <w:rsid w:val="009108E3"/>
    <w:rsid w:val="00910A46"/>
    <w:rsid w:val="00910A82"/>
    <w:rsid w:val="00911176"/>
    <w:rsid w:val="00911572"/>
    <w:rsid w:val="0091184E"/>
    <w:rsid w:val="0091206A"/>
    <w:rsid w:val="00912814"/>
    <w:rsid w:val="00912920"/>
    <w:rsid w:val="009140A1"/>
    <w:rsid w:val="0091474C"/>
    <w:rsid w:val="009155CF"/>
    <w:rsid w:val="00915C00"/>
    <w:rsid w:val="00915F65"/>
    <w:rsid w:val="00916C5B"/>
    <w:rsid w:val="0091714B"/>
    <w:rsid w:val="00917522"/>
    <w:rsid w:val="00917A81"/>
    <w:rsid w:val="00920036"/>
    <w:rsid w:val="00920234"/>
    <w:rsid w:val="009206CD"/>
    <w:rsid w:val="009210FC"/>
    <w:rsid w:val="00921803"/>
    <w:rsid w:val="00921F95"/>
    <w:rsid w:val="00922151"/>
    <w:rsid w:val="009221F2"/>
    <w:rsid w:val="00922D25"/>
    <w:rsid w:val="009231F4"/>
    <w:rsid w:val="00923916"/>
    <w:rsid w:val="00924121"/>
    <w:rsid w:val="0092443C"/>
    <w:rsid w:val="00924998"/>
    <w:rsid w:val="00924BD6"/>
    <w:rsid w:val="0092500A"/>
    <w:rsid w:val="0092505C"/>
    <w:rsid w:val="00925266"/>
    <w:rsid w:val="00926503"/>
    <w:rsid w:val="009274F7"/>
    <w:rsid w:val="009279B3"/>
    <w:rsid w:val="00927B96"/>
    <w:rsid w:val="00927BA8"/>
    <w:rsid w:val="00930416"/>
    <w:rsid w:val="009307E6"/>
    <w:rsid w:val="00930CBA"/>
    <w:rsid w:val="00931013"/>
    <w:rsid w:val="00931090"/>
    <w:rsid w:val="0093112E"/>
    <w:rsid w:val="00931916"/>
    <w:rsid w:val="00931DDE"/>
    <w:rsid w:val="00931FF8"/>
    <w:rsid w:val="00932749"/>
    <w:rsid w:val="00932792"/>
    <w:rsid w:val="00932D49"/>
    <w:rsid w:val="00932E08"/>
    <w:rsid w:val="00932EB0"/>
    <w:rsid w:val="0093332A"/>
    <w:rsid w:val="00933C73"/>
    <w:rsid w:val="00933D4A"/>
    <w:rsid w:val="00933DE3"/>
    <w:rsid w:val="009340DB"/>
    <w:rsid w:val="00934732"/>
    <w:rsid w:val="00934734"/>
    <w:rsid w:val="00934CDE"/>
    <w:rsid w:val="00935585"/>
    <w:rsid w:val="009360B8"/>
    <w:rsid w:val="00936AF1"/>
    <w:rsid w:val="009379D8"/>
    <w:rsid w:val="00937A20"/>
    <w:rsid w:val="00937A27"/>
    <w:rsid w:val="00940325"/>
    <w:rsid w:val="00940CD3"/>
    <w:rsid w:val="00941330"/>
    <w:rsid w:val="00941333"/>
    <w:rsid w:val="009415DD"/>
    <w:rsid w:val="00941B82"/>
    <w:rsid w:val="00941D7B"/>
    <w:rsid w:val="00942036"/>
    <w:rsid w:val="00942283"/>
    <w:rsid w:val="00943096"/>
    <w:rsid w:val="00943109"/>
    <w:rsid w:val="0094315C"/>
    <w:rsid w:val="00943915"/>
    <w:rsid w:val="00944252"/>
    <w:rsid w:val="009454C2"/>
    <w:rsid w:val="009458FD"/>
    <w:rsid w:val="00946605"/>
    <w:rsid w:val="00946FB1"/>
    <w:rsid w:val="00947D48"/>
    <w:rsid w:val="009500B0"/>
    <w:rsid w:val="009516A0"/>
    <w:rsid w:val="00951919"/>
    <w:rsid w:val="00951CC2"/>
    <w:rsid w:val="00951D25"/>
    <w:rsid w:val="00952019"/>
    <w:rsid w:val="00952265"/>
    <w:rsid w:val="00952D4D"/>
    <w:rsid w:val="00952EB4"/>
    <w:rsid w:val="009530FC"/>
    <w:rsid w:val="009532C9"/>
    <w:rsid w:val="00953573"/>
    <w:rsid w:val="009543D6"/>
    <w:rsid w:val="009545F3"/>
    <w:rsid w:val="00954C65"/>
    <w:rsid w:val="00955439"/>
    <w:rsid w:val="009563B0"/>
    <w:rsid w:val="009568C0"/>
    <w:rsid w:val="00956B02"/>
    <w:rsid w:val="00957065"/>
    <w:rsid w:val="009572D1"/>
    <w:rsid w:val="00957354"/>
    <w:rsid w:val="00960B2C"/>
    <w:rsid w:val="00960B51"/>
    <w:rsid w:val="009611A8"/>
    <w:rsid w:val="009611FD"/>
    <w:rsid w:val="00961298"/>
    <w:rsid w:val="00961782"/>
    <w:rsid w:val="009624F1"/>
    <w:rsid w:val="00964556"/>
    <w:rsid w:val="009647B8"/>
    <w:rsid w:val="0096496E"/>
    <w:rsid w:val="00964E88"/>
    <w:rsid w:val="00965CBE"/>
    <w:rsid w:val="009662D5"/>
    <w:rsid w:val="009668DB"/>
    <w:rsid w:val="00966BA9"/>
    <w:rsid w:val="00967079"/>
    <w:rsid w:val="0096756A"/>
    <w:rsid w:val="009677A4"/>
    <w:rsid w:val="009677B7"/>
    <w:rsid w:val="0096791D"/>
    <w:rsid w:val="00967B0C"/>
    <w:rsid w:val="00967D34"/>
    <w:rsid w:val="00967D3A"/>
    <w:rsid w:val="0097038C"/>
    <w:rsid w:val="00970437"/>
    <w:rsid w:val="00970881"/>
    <w:rsid w:val="0097097E"/>
    <w:rsid w:val="00971500"/>
    <w:rsid w:val="00971F5F"/>
    <w:rsid w:val="00972872"/>
    <w:rsid w:val="009733AF"/>
    <w:rsid w:val="00973917"/>
    <w:rsid w:val="00973954"/>
    <w:rsid w:val="00973D57"/>
    <w:rsid w:val="0097436D"/>
    <w:rsid w:val="009755BE"/>
    <w:rsid w:val="009759C1"/>
    <w:rsid w:val="00975EBB"/>
    <w:rsid w:val="00977562"/>
    <w:rsid w:val="00977641"/>
    <w:rsid w:val="009776EE"/>
    <w:rsid w:val="00977950"/>
    <w:rsid w:val="00980A9B"/>
    <w:rsid w:val="00981CD2"/>
    <w:rsid w:val="0098371C"/>
    <w:rsid w:val="009838F4"/>
    <w:rsid w:val="0098431E"/>
    <w:rsid w:val="00984371"/>
    <w:rsid w:val="00984700"/>
    <w:rsid w:val="00984BAE"/>
    <w:rsid w:val="0098528E"/>
    <w:rsid w:val="00985B69"/>
    <w:rsid w:val="00985CD4"/>
    <w:rsid w:val="00985EA8"/>
    <w:rsid w:val="00986D44"/>
    <w:rsid w:val="00987152"/>
    <w:rsid w:val="009875DB"/>
    <w:rsid w:val="00987CA1"/>
    <w:rsid w:val="00990BB0"/>
    <w:rsid w:val="00990F56"/>
    <w:rsid w:val="009917A9"/>
    <w:rsid w:val="009932B8"/>
    <w:rsid w:val="0099335F"/>
    <w:rsid w:val="00993725"/>
    <w:rsid w:val="00994243"/>
    <w:rsid w:val="00995339"/>
    <w:rsid w:val="0099677A"/>
    <w:rsid w:val="00996971"/>
    <w:rsid w:val="00997A9C"/>
    <w:rsid w:val="009A02DC"/>
    <w:rsid w:val="009A0727"/>
    <w:rsid w:val="009A0899"/>
    <w:rsid w:val="009A0A43"/>
    <w:rsid w:val="009A0C38"/>
    <w:rsid w:val="009A0EEC"/>
    <w:rsid w:val="009A113A"/>
    <w:rsid w:val="009A1163"/>
    <w:rsid w:val="009A1165"/>
    <w:rsid w:val="009A1204"/>
    <w:rsid w:val="009A1345"/>
    <w:rsid w:val="009A1A62"/>
    <w:rsid w:val="009A1D2C"/>
    <w:rsid w:val="009A21D8"/>
    <w:rsid w:val="009A2480"/>
    <w:rsid w:val="009A2729"/>
    <w:rsid w:val="009A294F"/>
    <w:rsid w:val="009A2977"/>
    <w:rsid w:val="009A2EE8"/>
    <w:rsid w:val="009A42D7"/>
    <w:rsid w:val="009A43DA"/>
    <w:rsid w:val="009A4610"/>
    <w:rsid w:val="009A486C"/>
    <w:rsid w:val="009A5067"/>
    <w:rsid w:val="009A55EB"/>
    <w:rsid w:val="009A5C7A"/>
    <w:rsid w:val="009A5E60"/>
    <w:rsid w:val="009A6AD3"/>
    <w:rsid w:val="009A6C2B"/>
    <w:rsid w:val="009A6ED6"/>
    <w:rsid w:val="009A6F7F"/>
    <w:rsid w:val="009B04A9"/>
    <w:rsid w:val="009B0F57"/>
    <w:rsid w:val="009B1648"/>
    <w:rsid w:val="009B1D4A"/>
    <w:rsid w:val="009B3043"/>
    <w:rsid w:val="009B30E1"/>
    <w:rsid w:val="009B33A2"/>
    <w:rsid w:val="009B3F4D"/>
    <w:rsid w:val="009B489E"/>
    <w:rsid w:val="009B49D2"/>
    <w:rsid w:val="009B54D4"/>
    <w:rsid w:val="009B5501"/>
    <w:rsid w:val="009B6E36"/>
    <w:rsid w:val="009B7013"/>
    <w:rsid w:val="009B75EB"/>
    <w:rsid w:val="009C01D0"/>
    <w:rsid w:val="009C1487"/>
    <w:rsid w:val="009C318D"/>
    <w:rsid w:val="009C39C3"/>
    <w:rsid w:val="009C454F"/>
    <w:rsid w:val="009C4E3A"/>
    <w:rsid w:val="009C4F23"/>
    <w:rsid w:val="009C645A"/>
    <w:rsid w:val="009C6798"/>
    <w:rsid w:val="009D0274"/>
    <w:rsid w:val="009D075A"/>
    <w:rsid w:val="009D1E8F"/>
    <w:rsid w:val="009D2157"/>
    <w:rsid w:val="009D2884"/>
    <w:rsid w:val="009D36D1"/>
    <w:rsid w:val="009D37DD"/>
    <w:rsid w:val="009D39AB"/>
    <w:rsid w:val="009D39F3"/>
    <w:rsid w:val="009D420F"/>
    <w:rsid w:val="009D4479"/>
    <w:rsid w:val="009D47B0"/>
    <w:rsid w:val="009D4DDD"/>
    <w:rsid w:val="009D6C5F"/>
    <w:rsid w:val="009D6E4A"/>
    <w:rsid w:val="009D6EC6"/>
    <w:rsid w:val="009D7330"/>
    <w:rsid w:val="009D7798"/>
    <w:rsid w:val="009E2B59"/>
    <w:rsid w:val="009E31CD"/>
    <w:rsid w:val="009E40A9"/>
    <w:rsid w:val="009E45E4"/>
    <w:rsid w:val="009E4621"/>
    <w:rsid w:val="009E4876"/>
    <w:rsid w:val="009E4EF8"/>
    <w:rsid w:val="009E5055"/>
    <w:rsid w:val="009E50C8"/>
    <w:rsid w:val="009E5803"/>
    <w:rsid w:val="009E6377"/>
    <w:rsid w:val="009E6711"/>
    <w:rsid w:val="009F038E"/>
    <w:rsid w:val="009F0D95"/>
    <w:rsid w:val="009F117A"/>
    <w:rsid w:val="009F12AB"/>
    <w:rsid w:val="009F13C0"/>
    <w:rsid w:val="009F1578"/>
    <w:rsid w:val="009F2246"/>
    <w:rsid w:val="009F25A8"/>
    <w:rsid w:val="009F2FC2"/>
    <w:rsid w:val="009F2FCD"/>
    <w:rsid w:val="009F3505"/>
    <w:rsid w:val="009F35B7"/>
    <w:rsid w:val="009F3CF2"/>
    <w:rsid w:val="009F3E47"/>
    <w:rsid w:val="009F4C0B"/>
    <w:rsid w:val="009F5D40"/>
    <w:rsid w:val="009F5E06"/>
    <w:rsid w:val="009F6604"/>
    <w:rsid w:val="009F796A"/>
    <w:rsid w:val="00A000D3"/>
    <w:rsid w:val="00A00561"/>
    <w:rsid w:val="00A00C7D"/>
    <w:rsid w:val="00A0106E"/>
    <w:rsid w:val="00A0148A"/>
    <w:rsid w:val="00A01AB3"/>
    <w:rsid w:val="00A01C19"/>
    <w:rsid w:val="00A02442"/>
    <w:rsid w:val="00A0263E"/>
    <w:rsid w:val="00A02DAA"/>
    <w:rsid w:val="00A031A4"/>
    <w:rsid w:val="00A0359E"/>
    <w:rsid w:val="00A03A85"/>
    <w:rsid w:val="00A03C00"/>
    <w:rsid w:val="00A03EB5"/>
    <w:rsid w:val="00A03F14"/>
    <w:rsid w:val="00A04878"/>
    <w:rsid w:val="00A04D33"/>
    <w:rsid w:val="00A050E2"/>
    <w:rsid w:val="00A053D7"/>
    <w:rsid w:val="00A059F7"/>
    <w:rsid w:val="00A06687"/>
    <w:rsid w:val="00A06F79"/>
    <w:rsid w:val="00A070C8"/>
    <w:rsid w:val="00A0777D"/>
    <w:rsid w:val="00A07ADF"/>
    <w:rsid w:val="00A10313"/>
    <w:rsid w:val="00A12574"/>
    <w:rsid w:val="00A12F5F"/>
    <w:rsid w:val="00A13153"/>
    <w:rsid w:val="00A13E99"/>
    <w:rsid w:val="00A14989"/>
    <w:rsid w:val="00A150FE"/>
    <w:rsid w:val="00A163F0"/>
    <w:rsid w:val="00A16474"/>
    <w:rsid w:val="00A16915"/>
    <w:rsid w:val="00A17339"/>
    <w:rsid w:val="00A176DA"/>
    <w:rsid w:val="00A1773A"/>
    <w:rsid w:val="00A1797D"/>
    <w:rsid w:val="00A17BA1"/>
    <w:rsid w:val="00A17E02"/>
    <w:rsid w:val="00A17F4C"/>
    <w:rsid w:val="00A17F79"/>
    <w:rsid w:val="00A20C99"/>
    <w:rsid w:val="00A21099"/>
    <w:rsid w:val="00A2117A"/>
    <w:rsid w:val="00A21318"/>
    <w:rsid w:val="00A2138F"/>
    <w:rsid w:val="00A2214A"/>
    <w:rsid w:val="00A22C40"/>
    <w:rsid w:val="00A22E74"/>
    <w:rsid w:val="00A22F69"/>
    <w:rsid w:val="00A23475"/>
    <w:rsid w:val="00A23857"/>
    <w:rsid w:val="00A240E3"/>
    <w:rsid w:val="00A24557"/>
    <w:rsid w:val="00A24D11"/>
    <w:rsid w:val="00A251A9"/>
    <w:rsid w:val="00A25551"/>
    <w:rsid w:val="00A258B5"/>
    <w:rsid w:val="00A2608B"/>
    <w:rsid w:val="00A262DE"/>
    <w:rsid w:val="00A2638B"/>
    <w:rsid w:val="00A26531"/>
    <w:rsid w:val="00A266A4"/>
    <w:rsid w:val="00A26D51"/>
    <w:rsid w:val="00A27B03"/>
    <w:rsid w:val="00A30A45"/>
    <w:rsid w:val="00A30A4E"/>
    <w:rsid w:val="00A316E5"/>
    <w:rsid w:val="00A3214A"/>
    <w:rsid w:val="00A32DA4"/>
    <w:rsid w:val="00A33197"/>
    <w:rsid w:val="00A331C5"/>
    <w:rsid w:val="00A341B7"/>
    <w:rsid w:val="00A34628"/>
    <w:rsid w:val="00A34AF6"/>
    <w:rsid w:val="00A35183"/>
    <w:rsid w:val="00A35D3A"/>
    <w:rsid w:val="00A35E76"/>
    <w:rsid w:val="00A37615"/>
    <w:rsid w:val="00A37772"/>
    <w:rsid w:val="00A37D68"/>
    <w:rsid w:val="00A40AF8"/>
    <w:rsid w:val="00A41703"/>
    <w:rsid w:val="00A41A80"/>
    <w:rsid w:val="00A42925"/>
    <w:rsid w:val="00A43073"/>
    <w:rsid w:val="00A4363E"/>
    <w:rsid w:val="00A43E4F"/>
    <w:rsid w:val="00A43FC9"/>
    <w:rsid w:val="00A450D6"/>
    <w:rsid w:val="00A457DE"/>
    <w:rsid w:val="00A4589F"/>
    <w:rsid w:val="00A45EBF"/>
    <w:rsid w:val="00A45F4F"/>
    <w:rsid w:val="00A46A8E"/>
    <w:rsid w:val="00A47349"/>
    <w:rsid w:val="00A47E67"/>
    <w:rsid w:val="00A502BF"/>
    <w:rsid w:val="00A507CC"/>
    <w:rsid w:val="00A51A02"/>
    <w:rsid w:val="00A51F1B"/>
    <w:rsid w:val="00A52807"/>
    <w:rsid w:val="00A532A6"/>
    <w:rsid w:val="00A53B5E"/>
    <w:rsid w:val="00A53D83"/>
    <w:rsid w:val="00A540CB"/>
    <w:rsid w:val="00A54375"/>
    <w:rsid w:val="00A54AB6"/>
    <w:rsid w:val="00A54BE6"/>
    <w:rsid w:val="00A552E0"/>
    <w:rsid w:val="00A555F4"/>
    <w:rsid w:val="00A556D5"/>
    <w:rsid w:val="00A55F86"/>
    <w:rsid w:val="00A55FCE"/>
    <w:rsid w:val="00A562C2"/>
    <w:rsid w:val="00A5651D"/>
    <w:rsid w:val="00A57119"/>
    <w:rsid w:val="00A57198"/>
    <w:rsid w:val="00A57AA4"/>
    <w:rsid w:val="00A57BC3"/>
    <w:rsid w:val="00A57EF3"/>
    <w:rsid w:val="00A600A9"/>
    <w:rsid w:val="00A60556"/>
    <w:rsid w:val="00A6065B"/>
    <w:rsid w:val="00A60707"/>
    <w:rsid w:val="00A60BCA"/>
    <w:rsid w:val="00A61130"/>
    <w:rsid w:val="00A61684"/>
    <w:rsid w:val="00A62346"/>
    <w:rsid w:val="00A6293E"/>
    <w:rsid w:val="00A62BA5"/>
    <w:rsid w:val="00A62F75"/>
    <w:rsid w:val="00A63031"/>
    <w:rsid w:val="00A63455"/>
    <w:rsid w:val="00A640CD"/>
    <w:rsid w:val="00A64624"/>
    <w:rsid w:val="00A6507B"/>
    <w:rsid w:val="00A65830"/>
    <w:rsid w:val="00A65EF2"/>
    <w:rsid w:val="00A661D8"/>
    <w:rsid w:val="00A6639B"/>
    <w:rsid w:val="00A66A47"/>
    <w:rsid w:val="00A676CF"/>
    <w:rsid w:val="00A677CD"/>
    <w:rsid w:val="00A70175"/>
    <w:rsid w:val="00A70222"/>
    <w:rsid w:val="00A710E0"/>
    <w:rsid w:val="00A71235"/>
    <w:rsid w:val="00A72178"/>
    <w:rsid w:val="00A72609"/>
    <w:rsid w:val="00A72922"/>
    <w:rsid w:val="00A72FAF"/>
    <w:rsid w:val="00A72FC9"/>
    <w:rsid w:val="00A73139"/>
    <w:rsid w:val="00A734FC"/>
    <w:rsid w:val="00A739D9"/>
    <w:rsid w:val="00A74A63"/>
    <w:rsid w:val="00A75FB5"/>
    <w:rsid w:val="00A76769"/>
    <w:rsid w:val="00A77320"/>
    <w:rsid w:val="00A7784B"/>
    <w:rsid w:val="00A77926"/>
    <w:rsid w:val="00A77A0A"/>
    <w:rsid w:val="00A77A30"/>
    <w:rsid w:val="00A803D3"/>
    <w:rsid w:val="00A81778"/>
    <w:rsid w:val="00A81DEB"/>
    <w:rsid w:val="00A81E8B"/>
    <w:rsid w:val="00A821A9"/>
    <w:rsid w:val="00A82796"/>
    <w:rsid w:val="00A82978"/>
    <w:rsid w:val="00A84250"/>
    <w:rsid w:val="00A844D0"/>
    <w:rsid w:val="00A84B1C"/>
    <w:rsid w:val="00A84C36"/>
    <w:rsid w:val="00A8627B"/>
    <w:rsid w:val="00A867E4"/>
    <w:rsid w:val="00A86CBD"/>
    <w:rsid w:val="00A875C5"/>
    <w:rsid w:val="00A8787D"/>
    <w:rsid w:val="00A90F48"/>
    <w:rsid w:val="00A91363"/>
    <w:rsid w:val="00A9172B"/>
    <w:rsid w:val="00A917D0"/>
    <w:rsid w:val="00A9199F"/>
    <w:rsid w:val="00A91CE5"/>
    <w:rsid w:val="00A92306"/>
    <w:rsid w:val="00A9377F"/>
    <w:rsid w:val="00A93A94"/>
    <w:rsid w:val="00A94E2C"/>
    <w:rsid w:val="00A9543D"/>
    <w:rsid w:val="00A95583"/>
    <w:rsid w:val="00A955DA"/>
    <w:rsid w:val="00A95B06"/>
    <w:rsid w:val="00A96177"/>
    <w:rsid w:val="00A974A5"/>
    <w:rsid w:val="00A9754A"/>
    <w:rsid w:val="00A978F2"/>
    <w:rsid w:val="00A97D96"/>
    <w:rsid w:val="00A97ECB"/>
    <w:rsid w:val="00AA0036"/>
    <w:rsid w:val="00AA095A"/>
    <w:rsid w:val="00AA0E77"/>
    <w:rsid w:val="00AA1076"/>
    <w:rsid w:val="00AA119B"/>
    <w:rsid w:val="00AA17C2"/>
    <w:rsid w:val="00AA1C46"/>
    <w:rsid w:val="00AA33C5"/>
    <w:rsid w:val="00AA366C"/>
    <w:rsid w:val="00AA38F9"/>
    <w:rsid w:val="00AA3C5C"/>
    <w:rsid w:val="00AA442E"/>
    <w:rsid w:val="00AA45CA"/>
    <w:rsid w:val="00AA52EE"/>
    <w:rsid w:val="00AA55B7"/>
    <w:rsid w:val="00AA5A48"/>
    <w:rsid w:val="00AA5B9E"/>
    <w:rsid w:val="00AA5D12"/>
    <w:rsid w:val="00AA5F60"/>
    <w:rsid w:val="00AA621F"/>
    <w:rsid w:val="00AA62D5"/>
    <w:rsid w:val="00AA6691"/>
    <w:rsid w:val="00AA6F1B"/>
    <w:rsid w:val="00AA7BCA"/>
    <w:rsid w:val="00AA7F3B"/>
    <w:rsid w:val="00AB146E"/>
    <w:rsid w:val="00AB1579"/>
    <w:rsid w:val="00AB1B98"/>
    <w:rsid w:val="00AB23D7"/>
    <w:rsid w:val="00AB2407"/>
    <w:rsid w:val="00AB27D8"/>
    <w:rsid w:val="00AB3239"/>
    <w:rsid w:val="00AB36A9"/>
    <w:rsid w:val="00AB5145"/>
    <w:rsid w:val="00AB5341"/>
    <w:rsid w:val="00AB53DF"/>
    <w:rsid w:val="00AB54A0"/>
    <w:rsid w:val="00AB5C58"/>
    <w:rsid w:val="00AB67CF"/>
    <w:rsid w:val="00AB6EA2"/>
    <w:rsid w:val="00AB7D60"/>
    <w:rsid w:val="00AC0167"/>
    <w:rsid w:val="00AC08FB"/>
    <w:rsid w:val="00AC0D12"/>
    <w:rsid w:val="00AC1122"/>
    <w:rsid w:val="00AC16D1"/>
    <w:rsid w:val="00AC179C"/>
    <w:rsid w:val="00AC1E3D"/>
    <w:rsid w:val="00AC1FE8"/>
    <w:rsid w:val="00AC2561"/>
    <w:rsid w:val="00AC27C1"/>
    <w:rsid w:val="00AC2BF5"/>
    <w:rsid w:val="00AC2FEC"/>
    <w:rsid w:val="00AC30C2"/>
    <w:rsid w:val="00AC32FB"/>
    <w:rsid w:val="00AC3857"/>
    <w:rsid w:val="00AC4E17"/>
    <w:rsid w:val="00AC68B5"/>
    <w:rsid w:val="00AC6AB2"/>
    <w:rsid w:val="00AC6E26"/>
    <w:rsid w:val="00AC733A"/>
    <w:rsid w:val="00AC74DB"/>
    <w:rsid w:val="00AC7804"/>
    <w:rsid w:val="00AC7DED"/>
    <w:rsid w:val="00AD08A8"/>
    <w:rsid w:val="00AD125A"/>
    <w:rsid w:val="00AD16EF"/>
    <w:rsid w:val="00AD1D54"/>
    <w:rsid w:val="00AD2014"/>
    <w:rsid w:val="00AD2FCE"/>
    <w:rsid w:val="00AD3FFF"/>
    <w:rsid w:val="00AD4255"/>
    <w:rsid w:val="00AD460F"/>
    <w:rsid w:val="00AD4E14"/>
    <w:rsid w:val="00AD4E3A"/>
    <w:rsid w:val="00AD5A6E"/>
    <w:rsid w:val="00AD5B12"/>
    <w:rsid w:val="00AD5B59"/>
    <w:rsid w:val="00AD6DE9"/>
    <w:rsid w:val="00AD71B6"/>
    <w:rsid w:val="00AE094E"/>
    <w:rsid w:val="00AE0A16"/>
    <w:rsid w:val="00AE0A79"/>
    <w:rsid w:val="00AE0FBB"/>
    <w:rsid w:val="00AE2185"/>
    <w:rsid w:val="00AE240C"/>
    <w:rsid w:val="00AE28B8"/>
    <w:rsid w:val="00AE29FA"/>
    <w:rsid w:val="00AE46C6"/>
    <w:rsid w:val="00AE5800"/>
    <w:rsid w:val="00AE5D06"/>
    <w:rsid w:val="00AE60E2"/>
    <w:rsid w:val="00AE60F7"/>
    <w:rsid w:val="00AE6888"/>
    <w:rsid w:val="00AE69B6"/>
    <w:rsid w:val="00AE6A25"/>
    <w:rsid w:val="00AE7116"/>
    <w:rsid w:val="00AE7251"/>
    <w:rsid w:val="00AF069E"/>
    <w:rsid w:val="00AF0C77"/>
    <w:rsid w:val="00AF14C5"/>
    <w:rsid w:val="00AF156C"/>
    <w:rsid w:val="00AF1571"/>
    <w:rsid w:val="00AF1BCE"/>
    <w:rsid w:val="00AF2D62"/>
    <w:rsid w:val="00AF3852"/>
    <w:rsid w:val="00AF3C21"/>
    <w:rsid w:val="00AF4092"/>
    <w:rsid w:val="00AF421D"/>
    <w:rsid w:val="00AF4978"/>
    <w:rsid w:val="00AF4B05"/>
    <w:rsid w:val="00AF4B36"/>
    <w:rsid w:val="00AF4C40"/>
    <w:rsid w:val="00AF4FE4"/>
    <w:rsid w:val="00AF50CD"/>
    <w:rsid w:val="00AF5E09"/>
    <w:rsid w:val="00AF6468"/>
    <w:rsid w:val="00AF71EA"/>
    <w:rsid w:val="00AF7C39"/>
    <w:rsid w:val="00AF7C54"/>
    <w:rsid w:val="00AF7F4F"/>
    <w:rsid w:val="00B00703"/>
    <w:rsid w:val="00B00E09"/>
    <w:rsid w:val="00B01E71"/>
    <w:rsid w:val="00B025E5"/>
    <w:rsid w:val="00B0271D"/>
    <w:rsid w:val="00B031DC"/>
    <w:rsid w:val="00B05B8E"/>
    <w:rsid w:val="00B05FB5"/>
    <w:rsid w:val="00B0643B"/>
    <w:rsid w:val="00B06677"/>
    <w:rsid w:val="00B06BA7"/>
    <w:rsid w:val="00B06D30"/>
    <w:rsid w:val="00B07128"/>
    <w:rsid w:val="00B07132"/>
    <w:rsid w:val="00B07521"/>
    <w:rsid w:val="00B07C0C"/>
    <w:rsid w:val="00B07E5C"/>
    <w:rsid w:val="00B10ABA"/>
    <w:rsid w:val="00B138AD"/>
    <w:rsid w:val="00B13A7F"/>
    <w:rsid w:val="00B13BDB"/>
    <w:rsid w:val="00B13E7F"/>
    <w:rsid w:val="00B14DDD"/>
    <w:rsid w:val="00B15675"/>
    <w:rsid w:val="00B15893"/>
    <w:rsid w:val="00B162F1"/>
    <w:rsid w:val="00B1777E"/>
    <w:rsid w:val="00B200A3"/>
    <w:rsid w:val="00B20277"/>
    <w:rsid w:val="00B217E5"/>
    <w:rsid w:val="00B22893"/>
    <w:rsid w:val="00B229E6"/>
    <w:rsid w:val="00B22B3C"/>
    <w:rsid w:val="00B2320A"/>
    <w:rsid w:val="00B241D8"/>
    <w:rsid w:val="00B242A9"/>
    <w:rsid w:val="00B243FB"/>
    <w:rsid w:val="00B24D98"/>
    <w:rsid w:val="00B251E8"/>
    <w:rsid w:val="00B252D8"/>
    <w:rsid w:val="00B26618"/>
    <w:rsid w:val="00B267E2"/>
    <w:rsid w:val="00B26D8A"/>
    <w:rsid w:val="00B27328"/>
    <w:rsid w:val="00B3019C"/>
    <w:rsid w:val="00B301B4"/>
    <w:rsid w:val="00B301ED"/>
    <w:rsid w:val="00B3045C"/>
    <w:rsid w:val="00B307FF"/>
    <w:rsid w:val="00B30B43"/>
    <w:rsid w:val="00B31559"/>
    <w:rsid w:val="00B3225D"/>
    <w:rsid w:val="00B323ED"/>
    <w:rsid w:val="00B32723"/>
    <w:rsid w:val="00B329FE"/>
    <w:rsid w:val="00B32E5C"/>
    <w:rsid w:val="00B339EB"/>
    <w:rsid w:val="00B3546E"/>
    <w:rsid w:val="00B35649"/>
    <w:rsid w:val="00B357DE"/>
    <w:rsid w:val="00B358C0"/>
    <w:rsid w:val="00B35D07"/>
    <w:rsid w:val="00B36259"/>
    <w:rsid w:val="00B36EA0"/>
    <w:rsid w:val="00B37D54"/>
    <w:rsid w:val="00B4070B"/>
    <w:rsid w:val="00B407C9"/>
    <w:rsid w:val="00B40A38"/>
    <w:rsid w:val="00B417FC"/>
    <w:rsid w:val="00B4184F"/>
    <w:rsid w:val="00B41A75"/>
    <w:rsid w:val="00B41D5E"/>
    <w:rsid w:val="00B4270A"/>
    <w:rsid w:val="00B42A5F"/>
    <w:rsid w:val="00B43B72"/>
    <w:rsid w:val="00B43B76"/>
    <w:rsid w:val="00B44BDD"/>
    <w:rsid w:val="00B453B1"/>
    <w:rsid w:val="00B45450"/>
    <w:rsid w:val="00B45EE6"/>
    <w:rsid w:val="00B45F58"/>
    <w:rsid w:val="00B45F8D"/>
    <w:rsid w:val="00B46003"/>
    <w:rsid w:val="00B4627A"/>
    <w:rsid w:val="00B46E7D"/>
    <w:rsid w:val="00B47548"/>
    <w:rsid w:val="00B47670"/>
    <w:rsid w:val="00B47791"/>
    <w:rsid w:val="00B478F3"/>
    <w:rsid w:val="00B47C7F"/>
    <w:rsid w:val="00B5074C"/>
    <w:rsid w:val="00B50F13"/>
    <w:rsid w:val="00B5113D"/>
    <w:rsid w:val="00B52535"/>
    <w:rsid w:val="00B5291E"/>
    <w:rsid w:val="00B52BA8"/>
    <w:rsid w:val="00B53071"/>
    <w:rsid w:val="00B53520"/>
    <w:rsid w:val="00B53599"/>
    <w:rsid w:val="00B53697"/>
    <w:rsid w:val="00B53836"/>
    <w:rsid w:val="00B53AF7"/>
    <w:rsid w:val="00B5600C"/>
    <w:rsid w:val="00B5646D"/>
    <w:rsid w:val="00B56A1C"/>
    <w:rsid w:val="00B56C2C"/>
    <w:rsid w:val="00B56F4B"/>
    <w:rsid w:val="00B57342"/>
    <w:rsid w:val="00B5768C"/>
    <w:rsid w:val="00B576AD"/>
    <w:rsid w:val="00B57803"/>
    <w:rsid w:val="00B578E5"/>
    <w:rsid w:val="00B57A76"/>
    <w:rsid w:val="00B57C03"/>
    <w:rsid w:val="00B57F33"/>
    <w:rsid w:val="00B60658"/>
    <w:rsid w:val="00B60F14"/>
    <w:rsid w:val="00B6173F"/>
    <w:rsid w:val="00B62737"/>
    <w:rsid w:val="00B63380"/>
    <w:rsid w:val="00B6354B"/>
    <w:rsid w:val="00B646EB"/>
    <w:rsid w:val="00B65790"/>
    <w:rsid w:val="00B65797"/>
    <w:rsid w:val="00B65B1C"/>
    <w:rsid w:val="00B65F81"/>
    <w:rsid w:val="00B660F9"/>
    <w:rsid w:val="00B664DE"/>
    <w:rsid w:val="00B664EC"/>
    <w:rsid w:val="00B666F5"/>
    <w:rsid w:val="00B6751C"/>
    <w:rsid w:val="00B67905"/>
    <w:rsid w:val="00B67A95"/>
    <w:rsid w:val="00B67CEA"/>
    <w:rsid w:val="00B703F5"/>
    <w:rsid w:val="00B70C78"/>
    <w:rsid w:val="00B70C82"/>
    <w:rsid w:val="00B7135F"/>
    <w:rsid w:val="00B71B92"/>
    <w:rsid w:val="00B728E7"/>
    <w:rsid w:val="00B75638"/>
    <w:rsid w:val="00B75AEC"/>
    <w:rsid w:val="00B763E3"/>
    <w:rsid w:val="00B76EF9"/>
    <w:rsid w:val="00B77410"/>
    <w:rsid w:val="00B77F10"/>
    <w:rsid w:val="00B8013B"/>
    <w:rsid w:val="00B80B4A"/>
    <w:rsid w:val="00B811F7"/>
    <w:rsid w:val="00B817FB"/>
    <w:rsid w:val="00B81D55"/>
    <w:rsid w:val="00B8272C"/>
    <w:rsid w:val="00B827AC"/>
    <w:rsid w:val="00B82E45"/>
    <w:rsid w:val="00B83463"/>
    <w:rsid w:val="00B846DA"/>
    <w:rsid w:val="00B859E0"/>
    <w:rsid w:val="00B85AF6"/>
    <w:rsid w:val="00B86399"/>
    <w:rsid w:val="00B872A8"/>
    <w:rsid w:val="00B87694"/>
    <w:rsid w:val="00B87F46"/>
    <w:rsid w:val="00B917C5"/>
    <w:rsid w:val="00B93221"/>
    <w:rsid w:val="00B940B1"/>
    <w:rsid w:val="00B942E1"/>
    <w:rsid w:val="00B9441A"/>
    <w:rsid w:val="00B949B9"/>
    <w:rsid w:val="00B94A49"/>
    <w:rsid w:val="00B94E18"/>
    <w:rsid w:val="00B95C3A"/>
    <w:rsid w:val="00B965A6"/>
    <w:rsid w:val="00B96BB0"/>
    <w:rsid w:val="00B96DB2"/>
    <w:rsid w:val="00B96FBA"/>
    <w:rsid w:val="00B9717F"/>
    <w:rsid w:val="00BA03E8"/>
    <w:rsid w:val="00BA046B"/>
    <w:rsid w:val="00BA09CB"/>
    <w:rsid w:val="00BA113A"/>
    <w:rsid w:val="00BA1B7F"/>
    <w:rsid w:val="00BA2168"/>
    <w:rsid w:val="00BA224F"/>
    <w:rsid w:val="00BA23B5"/>
    <w:rsid w:val="00BA28D1"/>
    <w:rsid w:val="00BA298C"/>
    <w:rsid w:val="00BA3D7B"/>
    <w:rsid w:val="00BA4717"/>
    <w:rsid w:val="00BA4CCB"/>
    <w:rsid w:val="00BA4E08"/>
    <w:rsid w:val="00BA4E4E"/>
    <w:rsid w:val="00BA564E"/>
    <w:rsid w:val="00BA5D8B"/>
    <w:rsid w:val="00BA5DC6"/>
    <w:rsid w:val="00BA6196"/>
    <w:rsid w:val="00BA651A"/>
    <w:rsid w:val="00BA6DC2"/>
    <w:rsid w:val="00BA6F13"/>
    <w:rsid w:val="00BA771F"/>
    <w:rsid w:val="00BA7864"/>
    <w:rsid w:val="00BA78B0"/>
    <w:rsid w:val="00BA7E56"/>
    <w:rsid w:val="00BB0A3D"/>
    <w:rsid w:val="00BB0D61"/>
    <w:rsid w:val="00BB1597"/>
    <w:rsid w:val="00BB25A5"/>
    <w:rsid w:val="00BB2DD7"/>
    <w:rsid w:val="00BB350D"/>
    <w:rsid w:val="00BB3B2F"/>
    <w:rsid w:val="00BB4147"/>
    <w:rsid w:val="00BB44B5"/>
    <w:rsid w:val="00BB4ED7"/>
    <w:rsid w:val="00BB5582"/>
    <w:rsid w:val="00BB56EE"/>
    <w:rsid w:val="00BB5756"/>
    <w:rsid w:val="00BB59B0"/>
    <w:rsid w:val="00BB5BC5"/>
    <w:rsid w:val="00BB63BE"/>
    <w:rsid w:val="00BB681B"/>
    <w:rsid w:val="00BB6B02"/>
    <w:rsid w:val="00BB6CAA"/>
    <w:rsid w:val="00BB7241"/>
    <w:rsid w:val="00BB7A49"/>
    <w:rsid w:val="00BC05C4"/>
    <w:rsid w:val="00BC05D5"/>
    <w:rsid w:val="00BC0C82"/>
    <w:rsid w:val="00BC0CFE"/>
    <w:rsid w:val="00BC0EC3"/>
    <w:rsid w:val="00BC1101"/>
    <w:rsid w:val="00BC15C7"/>
    <w:rsid w:val="00BC228B"/>
    <w:rsid w:val="00BC2362"/>
    <w:rsid w:val="00BC23A3"/>
    <w:rsid w:val="00BC2B28"/>
    <w:rsid w:val="00BC2B96"/>
    <w:rsid w:val="00BC3FB8"/>
    <w:rsid w:val="00BC4009"/>
    <w:rsid w:val="00BC462F"/>
    <w:rsid w:val="00BC46FD"/>
    <w:rsid w:val="00BC5122"/>
    <w:rsid w:val="00BC51D9"/>
    <w:rsid w:val="00BC5D27"/>
    <w:rsid w:val="00BC60AD"/>
    <w:rsid w:val="00BC6371"/>
    <w:rsid w:val="00BC6D8C"/>
    <w:rsid w:val="00BC7157"/>
    <w:rsid w:val="00BC7343"/>
    <w:rsid w:val="00BD0569"/>
    <w:rsid w:val="00BD0F0F"/>
    <w:rsid w:val="00BD0FF3"/>
    <w:rsid w:val="00BD25B7"/>
    <w:rsid w:val="00BD261F"/>
    <w:rsid w:val="00BD2CA6"/>
    <w:rsid w:val="00BD36F1"/>
    <w:rsid w:val="00BD390A"/>
    <w:rsid w:val="00BD403E"/>
    <w:rsid w:val="00BD472C"/>
    <w:rsid w:val="00BD50C9"/>
    <w:rsid w:val="00BD54FB"/>
    <w:rsid w:val="00BD5857"/>
    <w:rsid w:val="00BD5F09"/>
    <w:rsid w:val="00BD7A95"/>
    <w:rsid w:val="00BE028C"/>
    <w:rsid w:val="00BE0B19"/>
    <w:rsid w:val="00BE0D15"/>
    <w:rsid w:val="00BE0F16"/>
    <w:rsid w:val="00BE168E"/>
    <w:rsid w:val="00BE18A0"/>
    <w:rsid w:val="00BE20E2"/>
    <w:rsid w:val="00BE2698"/>
    <w:rsid w:val="00BE2AFB"/>
    <w:rsid w:val="00BE2F1F"/>
    <w:rsid w:val="00BE39CF"/>
    <w:rsid w:val="00BE3FE5"/>
    <w:rsid w:val="00BE40FC"/>
    <w:rsid w:val="00BE4CBE"/>
    <w:rsid w:val="00BE5114"/>
    <w:rsid w:val="00BE521E"/>
    <w:rsid w:val="00BE5899"/>
    <w:rsid w:val="00BE58DA"/>
    <w:rsid w:val="00BE61B5"/>
    <w:rsid w:val="00BE6538"/>
    <w:rsid w:val="00BE6FF1"/>
    <w:rsid w:val="00BE77EE"/>
    <w:rsid w:val="00BF09D2"/>
    <w:rsid w:val="00BF1B04"/>
    <w:rsid w:val="00BF253D"/>
    <w:rsid w:val="00BF2971"/>
    <w:rsid w:val="00BF2F39"/>
    <w:rsid w:val="00BF4079"/>
    <w:rsid w:val="00BF44FD"/>
    <w:rsid w:val="00BF4F09"/>
    <w:rsid w:val="00BF4FB1"/>
    <w:rsid w:val="00BF4FF0"/>
    <w:rsid w:val="00BF565C"/>
    <w:rsid w:val="00BF61AB"/>
    <w:rsid w:val="00BF72CC"/>
    <w:rsid w:val="00BF7BBA"/>
    <w:rsid w:val="00C0056F"/>
    <w:rsid w:val="00C005C8"/>
    <w:rsid w:val="00C00785"/>
    <w:rsid w:val="00C00A27"/>
    <w:rsid w:val="00C01172"/>
    <w:rsid w:val="00C01AC0"/>
    <w:rsid w:val="00C01B45"/>
    <w:rsid w:val="00C0202E"/>
    <w:rsid w:val="00C02258"/>
    <w:rsid w:val="00C0269E"/>
    <w:rsid w:val="00C02A4F"/>
    <w:rsid w:val="00C02D2B"/>
    <w:rsid w:val="00C046AC"/>
    <w:rsid w:val="00C04BF5"/>
    <w:rsid w:val="00C05B83"/>
    <w:rsid w:val="00C05E4A"/>
    <w:rsid w:val="00C061D4"/>
    <w:rsid w:val="00C065F7"/>
    <w:rsid w:val="00C11905"/>
    <w:rsid w:val="00C11B83"/>
    <w:rsid w:val="00C11EA0"/>
    <w:rsid w:val="00C123FE"/>
    <w:rsid w:val="00C12DCF"/>
    <w:rsid w:val="00C150E6"/>
    <w:rsid w:val="00C15277"/>
    <w:rsid w:val="00C1623B"/>
    <w:rsid w:val="00C162BB"/>
    <w:rsid w:val="00C16372"/>
    <w:rsid w:val="00C16413"/>
    <w:rsid w:val="00C16718"/>
    <w:rsid w:val="00C167BA"/>
    <w:rsid w:val="00C16946"/>
    <w:rsid w:val="00C16B52"/>
    <w:rsid w:val="00C16CE5"/>
    <w:rsid w:val="00C16CE6"/>
    <w:rsid w:val="00C16EBB"/>
    <w:rsid w:val="00C17786"/>
    <w:rsid w:val="00C17FF3"/>
    <w:rsid w:val="00C200F7"/>
    <w:rsid w:val="00C201C6"/>
    <w:rsid w:val="00C204B4"/>
    <w:rsid w:val="00C20A4F"/>
    <w:rsid w:val="00C20B0F"/>
    <w:rsid w:val="00C211FC"/>
    <w:rsid w:val="00C217A6"/>
    <w:rsid w:val="00C220FE"/>
    <w:rsid w:val="00C224AA"/>
    <w:rsid w:val="00C2262B"/>
    <w:rsid w:val="00C22973"/>
    <w:rsid w:val="00C22BDC"/>
    <w:rsid w:val="00C22C7A"/>
    <w:rsid w:val="00C23116"/>
    <w:rsid w:val="00C24518"/>
    <w:rsid w:val="00C24537"/>
    <w:rsid w:val="00C2495F"/>
    <w:rsid w:val="00C24F01"/>
    <w:rsid w:val="00C259A5"/>
    <w:rsid w:val="00C25FE0"/>
    <w:rsid w:val="00C264FE"/>
    <w:rsid w:val="00C27469"/>
    <w:rsid w:val="00C303D5"/>
    <w:rsid w:val="00C30559"/>
    <w:rsid w:val="00C32047"/>
    <w:rsid w:val="00C321D9"/>
    <w:rsid w:val="00C32610"/>
    <w:rsid w:val="00C32661"/>
    <w:rsid w:val="00C33098"/>
    <w:rsid w:val="00C33310"/>
    <w:rsid w:val="00C333A0"/>
    <w:rsid w:val="00C33708"/>
    <w:rsid w:val="00C34006"/>
    <w:rsid w:val="00C34015"/>
    <w:rsid w:val="00C34128"/>
    <w:rsid w:val="00C34623"/>
    <w:rsid w:val="00C34DC1"/>
    <w:rsid w:val="00C35E98"/>
    <w:rsid w:val="00C36244"/>
    <w:rsid w:val="00C36818"/>
    <w:rsid w:val="00C36ADE"/>
    <w:rsid w:val="00C37212"/>
    <w:rsid w:val="00C37BD2"/>
    <w:rsid w:val="00C403F9"/>
    <w:rsid w:val="00C40AAC"/>
    <w:rsid w:val="00C40E90"/>
    <w:rsid w:val="00C40F68"/>
    <w:rsid w:val="00C41916"/>
    <w:rsid w:val="00C42603"/>
    <w:rsid w:val="00C426B1"/>
    <w:rsid w:val="00C43196"/>
    <w:rsid w:val="00C43AD7"/>
    <w:rsid w:val="00C4431E"/>
    <w:rsid w:val="00C44760"/>
    <w:rsid w:val="00C447AF"/>
    <w:rsid w:val="00C4509E"/>
    <w:rsid w:val="00C45343"/>
    <w:rsid w:val="00C46087"/>
    <w:rsid w:val="00C463C9"/>
    <w:rsid w:val="00C50280"/>
    <w:rsid w:val="00C5047E"/>
    <w:rsid w:val="00C50520"/>
    <w:rsid w:val="00C505D1"/>
    <w:rsid w:val="00C5116E"/>
    <w:rsid w:val="00C517A5"/>
    <w:rsid w:val="00C51D09"/>
    <w:rsid w:val="00C51EDA"/>
    <w:rsid w:val="00C528AB"/>
    <w:rsid w:val="00C52D8B"/>
    <w:rsid w:val="00C54521"/>
    <w:rsid w:val="00C546F8"/>
    <w:rsid w:val="00C54BB5"/>
    <w:rsid w:val="00C5524E"/>
    <w:rsid w:val="00C55408"/>
    <w:rsid w:val="00C55BBB"/>
    <w:rsid w:val="00C5679E"/>
    <w:rsid w:val="00C57063"/>
    <w:rsid w:val="00C57813"/>
    <w:rsid w:val="00C601B4"/>
    <w:rsid w:val="00C6121E"/>
    <w:rsid w:val="00C6387D"/>
    <w:rsid w:val="00C63991"/>
    <w:rsid w:val="00C63CCC"/>
    <w:rsid w:val="00C63DCC"/>
    <w:rsid w:val="00C641CF"/>
    <w:rsid w:val="00C641FB"/>
    <w:rsid w:val="00C65021"/>
    <w:rsid w:val="00C650DA"/>
    <w:rsid w:val="00C65610"/>
    <w:rsid w:val="00C65AA8"/>
    <w:rsid w:val="00C66674"/>
    <w:rsid w:val="00C67AC0"/>
    <w:rsid w:val="00C67F5B"/>
    <w:rsid w:val="00C67FA0"/>
    <w:rsid w:val="00C709DB"/>
    <w:rsid w:val="00C70EC7"/>
    <w:rsid w:val="00C717AE"/>
    <w:rsid w:val="00C71F7A"/>
    <w:rsid w:val="00C7248F"/>
    <w:rsid w:val="00C72542"/>
    <w:rsid w:val="00C72677"/>
    <w:rsid w:val="00C7286B"/>
    <w:rsid w:val="00C72962"/>
    <w:rsid w:val="00C72990"/>
    <w:rsid w:val="00C733E3"/>
    <w:rsid w:val="00C7363B"/>
    <w:rsid w:val="00C73D76"/>
    <w:rsid w:val="00C74E62"/>
    <w:rsid w:val="00C75D3C"/>
    <w:rsid w:val="00C75F64"/>
    <w:rsid w:val="00C75FBF"/>
    <w:rsid w:val="00C76183"/>
    <w:rsid w:val="00C76C09"/>
    <w:rsid w:val="00C7704E"/>
    <w:rsid w:val="00C770D7"/>
    <w:rsid w:val="00C77681"/>
    <w:rsid w:val="00C817F7"/>
    <w:rsid w:val="00C81881"/>
    <w:rsid w:val="00C81DA1"/>
    <w:rsid w:val="00C81DCA"/>
    <w:rsid w:val="00C81FB2"/>
    <w:rsid w:val="00C82598"/>
    <w:rsid w:val="00C83025"/>
    <w:rsid w:val="00C8357D"/>
    <w:rsid w:val="00C84126"/>
    <w:rsid w:val="00C84BD2"/>
    <w:rsid w:val="00C84DD2"/>
    <w:rsid w:val="00C84EB7"/>
    <w:rsid w:val="00C851E3"/>
    <w:rsid w:val="00C85A88"/>
    <w:rsid w:val="00C87097"/>
    <w:rsid w:val="00C87674"/>
    <w:rsid w:val="00C87960"/>
    <w:rsid w:val="00C87A51"/>
    <w:rsid w:val="00C9034A"/>
    <w:rsid w:val="00C9091A"/>
    <w:rsid w:val="00C90B3F"/>
    <w:rsid w:val="00C90BD2"/>
    <w:rsid w:val="00C90D6A"/>
    <w:rsid w:val="00C91BE0"/>
    <w:rsid w:val="00C9216E"/>
    <w:rsid w:val="00C92787"/>
    <w:rsid w:val="00C92A99"/>
    <w:rsid w:val="00C92E23"/>
    <w:rsid w:val="00C92E9C"/>
    <w:rsid w:val="00C931C1"/>
    <w:rsid w:val="00C93AF1"/>
    <w:rsid w:val="00C93E5D"/>
    <w:rsid w:val="00C93F8D"/>
    <w:rsid w:val="00C94002"/>
    <w:rsid w:val="00C94966"/>
    <w:rsid w:val="00C949BA"/>
    <w:rsid w:val="00C94F34"/>
    <w:rsid w:val="00C9520A"/>
    <w:rsid w:val="00C955A1"/>
    <w:rsid w:val="00C965EE"/>
    <w:rsid w:val="00CA06F6"/>
    <w:rsid w:val="00CA0BDA"/>
    <w:rsid w:val="00CA0BF9"/>
    <w:rsid w:val="00CA156E"/>
    <w:rsid w:val="00CA1C87"/>
    <w:rsid w:val="00CA247E"/>
    <w:rsid w:val="00CA2F86"/>
    <w:rsid w:val="00CA3119"/>
    <w:rsid w:val="00CA3910"/>
    <w:rsid w:val="00CA3937"/>
    <w:rsid w:val="00CA3B44"/>
    <w:rsid w:val="00CA49F5"/>
    <w:rsid w:val="00CA4C0C"/>
    <w:rsid w:val="00CA4D00"/>
    <w:rsid w:val="00CA5060"/>
    <w:rsid w:val="00CA558A"/>
    <w:rsid w:val="00CA61DD"/>
    <w:rsid w:val="00CA6636"/>
    <w:rsid w:val="00CA6CAC"/>
    <w:rsid w:val="00CA7ABC"/>
    <w:rsid w:val="00CB0F2D"/>
    <w:rsid w:val="00CB144C"/>
    <w:rsid w:val="00CB1461"/>
    <w:rsid w:val="00CB1EC7"/>
    <w:rsid w:val="00CB1FA7"/>
    <w:rsid w:val="00CB2032"/>
    <w:rsid w:val="00CB267D"/>
    <w:rsid w:val="00CB2E02"/>
    <w:rsid w:val="00CB321D"/>
    <w:rsid w:val="00CB3BC1"/>
    <w:rsid w:val="00CB3BD0"/>
    <w:rsid w:val="00CB4029"/>
    <w:rsid w:val="00CB426A"/>
    <w:rsid w:val="00CB4AEA"/>
    <w:rsid w:val="00CB5017"/>
    <w:rsid w:val="00CB5250"/>
    <w:rsid w:val="00CB5EDE"/>
    <w:rsid w:val="00CB6759"/>
    <w:rsid w:val="00CB74B2"/>
    <w:rsid w:val="00CB75C8"/>
    <w:rsid w:val="00CB7B00"/>
    <w:rsid w:val="00CB7C0D"/>
    <w:rsid w:val="00CC0705"/>
    <w:rsid w:val="00CC089F"/>
    <w:rsid w:val="00CC13FD"/>
    <w:rsid w:val="00CC1935"/>
    <w:rsid w:val="00CC227E"/>
    <w:rsid w:val="00CC2721"/>
    <w:rsid w:val="00CC2806"/>
    <w:rsid w:val="00CC2890"/>
    <w:rsid w:val="00CC28AA"/>
    <w:rsid w:val="00CC33A8"/>
    <w:rsid w:val="00CC36BB"/>
    <w:rsid w:val="00CC375D"/>
    <w:rsid w:val="00CC4934"/>
    <w:rsid w:val="00CC4936"/>
    <w:rsid w:val="00CC4A98"/>
    <w:rsid w:val="00CC5009"/>
    <w:rsid w:val="00CC5374"/>
    <w:rsid w:val="00CC53EE"/>
    <w:rsid w:val="00CC54B4"/>
    <w:rsid w:val="00CC573D"/>
    <w:rsid w:val="00CC5B56"/>
    <w:rsid w:val="00CC5C3F"/>
    <w:rsid w:val="00CC7060"/>
    <w:rsid w:val="00CC72B6"/>
    <w:rsid w:val="00CC7B62"/>
    <w:rsid w:val="00CD0584"/>
    <w:rsid w:val="00CD20D8"/>
    <w:rsid w:val="00CD2B92"/>
    <w:rsid w:val="00CD356A"/>
    <w:rsid w:val="00CD36D0"/>
    <w:rsid w:val="00CD3860"/>
    <w:rsid w:val="00CD38DD"/>
    <w:rsid w:val="00CD60CD"/>
    <w:rsid w:val="00CD63BA"/>
    <w:rsid w:val="00CD6E4B"/>
    <w:rsid w:val="00CD7067"/>
    <w:rsid w:val="00CD710B"/>
    <w:rsid w:val="00CD77D4"/>
    <w:rsid w:val="00CD7E0D"/>
    <w:rsid w:val="00CE0573"/>
    <w:rsid w:val="00CE0BAC"/>
    <w:rsid w:val="00CE15FA"/>
    <w:rsid w:val="00CE16AB"/>
    <w:rsid w:val="00CE18CA"/>
    <w:rsid w:val="00CE19B1"/>
    <w:rsid w:val="00CE2562"/>
    <w:rsid w:val="00CE42CB"/>
    <w:rsid w:val="00CE4E22"/>
    <w:rsid w:val="00CE51CE"/>
    <w:rsid w:val="00CE546A"/>
    <w:rsid w:val="00CE57BF"/>
    <w:rsid w:val="00CE5C9D"/>
    <w:rsid w:val="00CE5E96"/>
    <w:rsid w:val="00CE5EEE"/>
    <w:rsid w:val="00CE61E2"/>
    <w:rsid w:val="00CE622D"/>
    <w:rsid w:val="00CE6E51"/>
    <w:rsid w:val="00CF09EC"/>
    <w:rsid w:val="00CF0B03"/>
    <w:rsid w:val="00CF0DEC"/>
    <w:rsid w:val="00CF1333"/>
    <w:rsid w:val="00CF145A"/>
    <w:rsid w:val="00CF1E95"/>
    <w:rsid w:val="00CF2E36"/>
    <w:rsid w:val="00CF2FC0"/>
    <w:rsid w:val="00CF3A43"/>
    <w:rsid w:val="00CF3D39"/>
    <w:rsid w:val="00CF3E47"/>
    <w:rsid w:val="00CF4B36"/>
    <w:rsid w:val="00CF5229"/>
    <w:rsid w:val="00CF5B1A"/>
    <w:rsid w:val="00CF67D9"/>
    <w:rsid w:val="00CF6FC7"/>
    <w:rsid w:val="00CF70C2"/>
    <w:rsid w:val="00CF7273"/>
    <w:rsid w:val="00CF72FA"/>
    <w:rsid w:val="00CF75B9"/>
    <w:rsid w:val="00CF77D6"/>
    <w:rsid w:val="00D007A3"/>
    <w:rsid w:val="00D00B10"/>
    <w:rsid w:val="00D01292"/>
    <w:rsid w:val="00D01ADB"/>
    <w:rsid w:val="00D0218D"/>
    <w:rsid w:val="00D02908"/>
    <w:rsid w:val="00D0321B"/>
    <w:rsid w:val="00D034E5"/>
    <w:rsid w:val="00D03857"/>
    <w:rsid w:val="00D0508E"/>
    <w:rsid w:val="00D05C49"/>
    <w:rsid w:val="00D05D1B"/>
    <w:rsid w:val="00D05D26"/>
    <w:rsid w:val="00D06778"/>
    <w:rsid w:val="00D072A3"/>
    <w:rsid w:val="00D0750D"/>
    <w:rsid w:val="00D07817"/>
    <w:rsid w:val="00D07B38"/>
    <w:rsid w:val="00D10F35"/>
    <w:rsid w:val="00D11EE5"/>
    <w:rsid w:val="00D12836"/>
    <w:rsid w:val="00D1322E"/>
    <w:rsid w:val="00D133D1"/>
    <w:rsid w:val="00D138A4"/>
    <w:rsid w:val="00D13B45"/>
    <w:rsid w:val="00D13FE6"/>
    <w:rsid w:val="00D14535"/>
    <w:rsid w:val="00D147F2"/>
    <w:rsid w:val="00D14956"/>
    <w:rsid w:val="00D15B51"/>
    <w:rsid w:val="00D15DD9"/>
    <w:rsid w:val="00D15F41"/>
    <w:rsid w:val="00D161AB"/>
    <w:rsid w:val="00D16E3E"/>
    <w:rsid w:val="00D17112"/>
    <w:rsid w:val="00D20C4C"/>
    <w:rsid w:val="00D2136D"/>
    <w:rsid w:val="00D21686"/>
    <w:rsid w:val="00D22258"/>
    <w:rsid w:val="00D222A1"/>
    <w:rsid w:val="00D22653"/>
    <w:rsid w:val="00D22857"/>
    <w:rsid w:val="00D23090"/>
    <w:rsid w:val="00D23FA5"/>
    <w:rsid w:val="00D242B8"/>
    <w:rsid w:val="00D244A0"/>
    <w:rsid w:val="00D24830"/>
    <w:rsid w:val="00D24F6D"/>
    <w:rsid w:val="00D254B4"/>
    <w:rsid w:val="00D260AD"/>
    <w:rsid w:val="00D26498"/>
    <w:rsid w:val="00D26B4F"/>
    <w:rsid w:val="00D278BD"/>
    <w:rsid w:val="00D27DB2"/>
    <w:rsid w:val="00D30325"/>
    <w:rsid w:val="00D30426"/>
    <w:rsid w:val="00D3192E"/>
    <w:rsid w:val="00D321A9"/>
    <w:rsid w:val="00D322B2"/>
    <w:rsid w:val="00D3257D"/>
    <w:rsid w:val="00D33793"/>
    <w:rsid w:val="00D33A3D"/>
    <w:rsid w:val="00D33D2C"/>
    <w:rsid w:val="00D349B0"/>
    <w:rsid w:val="00D34A5F"/>
    <w:rsid w:val="00D34E18"/>
    <w:rsid w:val="00D35A7D"/>
    <w:rsid w:val="00D35EA4"/>
    <w:rsid w:val="00D362E3"/>
    <w:rsid w:val="00D36918"/>
    <w:rsid w:val="00D372A3"/>
    <w:rsid w:val="00D4092F"/>
    <w:rsid w:val="00D42442"/>
    <w:rsid w:val="00D42DD2"/>
    <w:rsid w:val="00D4313B"/>
    <w:rsid w:val="00D4337A"/>
    <w:rsid w:val="00D43459"/>
    <w:rsid w:val="00D43668"/>
    <w:rsid w:val="00D43FB6"/>
    <w:rsid w:val="00D44BDE"/>
    <w:rsid w:val="00D451CF"/>
    <w:rsid w:val="00D454C8"/>
    <w:rsid w:val="00D45CD6"/>
    <w:rsid w:val="00D460C2"/>
    <w:rsid w:val="00D4611D"/>
    <w:rsid w:val="00D4728F"/>
    <w:rsid w:val="00D47B6A"/>
    <w:rsid w:val="00D47C0C"/>
    <w:rsid w:val="00D47E3F"/>
    <w:rsid w:val="00D50618"/>
    <w:rsid w:val="00D50F49"/>
    <w:rsid w:val="00D51522"/>
    <w:rsid w:val="00D51608"/>
    <w:rsid w:val="00D51BDE"/>
    <w:rsid w:val="00D51EBE"/>
    <w:rsid w:val="00D531DD"/>
    <w:rsid w:val="00D5366E"/>
    <w:rsid w:val="00D53902"/>
    <w:rsid w:val="00D53ADD"/>
    <w:rsid w:val="00D54806"/>
    <w:rsid w:val="00D559AA"/>
    <w:rsid w:val="00D55BAA"/>
    <w:rsid w:val="00D55EC5"/>
    <w:rsid w:val="00D55FA4"/>
    <w:rsid w:val="00D55FDF"/>
    <w:rsid w:val="00D567CF"/>
    <w:rsid w:val="00D56BFC"/>
    <w:rsid w:val="00D571B6"/>
    <w:rsid w:val="00D5742B"/>
    <w:rsid w:val="00D576D7"/>
    <w:rsid w:val="00D57E41"/>
    <w:rsid w:val="00D57EE1"/>
    <w:rsid w:val="00D60251"/>
    <w:rsid w:val="00D60682"/>
    <w:rsid w:val="00D618DD"/>
    <w:rsid w:val="00D61D82"/>
    <w:rsid w:val="00D61F81"/>
    <w:rsid w:val="00D6294F"/>
    <w:rsid w:val="00D62CD6"/>
    <w:rsid w:val="00D62D1F"/>
    <w:rsid w:val="00D6327E"/>
    <w:rsid w:val="00D63D07"/>
    <w:rsid w:val="00D644FA"/>
    <w:rsid w:val="00D64F05"/>
    <w:rsid w:val="00D651A7"/>
    <w:rsid w:val="00D655C0"/>
    <w:rsid w:val="00D65D45"/>
    <w:rsid w:val="00D66373"/>
    <w:rsid w:val="00D67473"/>
    <w:rsid w:val="00D67911"/>
    <w:rsid w:val="00D70275"/>
    <w:rsid w:val="00D70AFA"/>
    <w:rsid w:val="00D7189C"/>
    <w:rsid w:val="00D72657"/>
    <w:rsid w:val="00D72852"/>
    <w:rsid w:val="00D72C1B"/>
    <w:rsid w:val="00D7300A"/>
    <w:rsid w:val="00D7317F"/>
    <w:rsid w:val="00D738E9"/>
    <w:rsid w:val="00D75317"/>
    <w:rsid w:val="00D753A1"/>
    <w:rsid w:val="00D764E2"/>
    <w:rsid w:val="00D76A98"/>
    <w:rsid w:val="00D80665"/>
    <w:rsid w:val="00D8078B"/>
    <w:rsid w:val="00D80EAA"/>
    <w:rsid w:val="00D81278"/>
    <w:rsid w:val="00D81D2C"/>
    <w:rsid w:val="00D81DDC"/>
    <w:rsid w:val="00D8231F"/>
    <w:rsid w:val="00D83112"/>
    <w:rsid w:val="00D83163"/>
    <w:rsid w:val="00D83305"/>
    <w:rsid w:val="00D839C7"/>
    <w:rsid w:val="00D83B68"/>
    <w:rsid w:val="00D83C8C"/>
    <w:rsid w:val="00D83E90"/>
    <w:rsid w:val="00D83ED5"/>
    <w:rsid w:val="00D84DBE"/>
    <w:rsid w:val="00D85218"/>
    <w:rsid w:val="00D8531F"/>
    <w:rsid w:val="00D853E7"/>
    <w:rsid w:val="00D85444"/>
    <w:rsid w:val="00D8568B"/>
    <w:rsid w:val="00D85B1A"/>
    <w:rsid w:val="00D85DA6"/>
    <w:rsid w:val="00D86642"/>
    <w:rsid w:val="00D8671C"/>
    <w:rsid w:val="00D86878"/>
    <w:rsid w:val="00D86925"/>
    <w:rsid w:val="00D877CA"/>
    <w:rsid w:val="00D87A25"/>
    <w:rsid w:val="00D901FF"/>
    <w:rsid w:val="00D908B5"/>
    <w:rsid w:val="00D91080"/>
    <w:rsid w:val="00D9116A"/>
    <w:rsid w:val="00D91622"/>
    <w:rsid w:val="00D924D9"/>
    <w:rsid w:val="00D93074"/>
    <w:rsid w:val="00D93BA1"/>
    <w:rsid w:val="00D942D4"/>
    <w:rsid w:val="00D958FE"/>
    <w:rsid w:val="00D95B52"/>
    <w:rsid w:val="00D95C67"/>
    <w:rsid w:val="00D9608E"/>
    <w:rsid w:val="00D9650B"/>
    <w:rsid w:val="00D965C4"/>
    <w:rsid w:val="00D97142"/>
    <w:rsid w:val="00D97242"/>
    <w:rsid w:val="00D97653"/>
    <w:rsid w:val="00DA0108"/>
    <w:rsid w:val="00DA0B78"/>
    <w:rsid w:val="00DA0C4F"/>
    <w:rsid w:val="00DA14C4"/>
    <w:rsid w:val="00DA1F60"/>
    <w:rsid w:val="00DA1F6B"/>
    <w:rsid w:val="00DA1FE2"/>
    <w:rsid w:val="00DA2529"/>
    <w:rsid w:val="00DA280D"/>
    <w:rsid w:val="00DA3249"/>
    <w:rsid w:val="00DA3354"/>
    <w:rsid w:val="00DA3464"/>
    <w:rsid w:val="00DA3989"/>
    <w:rsid w:val="00DA4FBB"/>
    <w:rsid w:val="00DA53D1"/>
    <w:rsid w:val="00DA5C40"/>
    <w:rsid w:val="00DA622F"/>
    <w:rsid w:val="00DA69E9"/>
    <w:rsid w:val="00DA69F2"/>
    <w:rsid w:val="00DA6D74"/>
    <w:rsid w:val="00DA7F69"/>
    <w:rsid w:val="00DB009D"/>
    <w:rsid w:val="00DB04C7"/>
    <w:rsid w:val="00DB076B"/>
    <w:rsid w:val="00DB08BB"/>
    <w:rsid w:val="00DB0B85"/>
    <w:rsid w:val="00DB10A0"/>
    <w:rsid w:val="00DB130A"/>
    <w:rsid w:val="00DB137B"/>
    <w:rsid w:val="00DB13A1"/>
    <w:rsid w:val="00DB1669"/>
    <w:rsid w:val="00DB1CCB"/>
    <w:rsid w:val="00DB1FF4"/>
    <w:rsid w:val="00DB277F"/>
    <w:rsid w:val="00DB29ED"/>
    <w:rsid w:val="00DB2EB2"/>
    <w:rsid w:val="00DB2ECD"/>
    <w:rsid w:val="00DB4376"/>
    <w:rsid w:val="00DB504E"/>
    <w:rsid w:val="00DB5AFE"/>
    <w:rsid w:val="00DB5CCF"/>
    <w:rsid w:val="00DB6640"/>
    <w:rsid w:val="00DB6994"/>
    <w:rsid w:val="00DB6E67"/>
    <w:rsid w:val="00DB6FBD"/>
    <w:rsid w:val="00DC08FF"/>
    <w:rsid w:val="00DC0C1C"/>
    <w:rsid w:val="00DC10A1"/>
    <w:rsid w:val="00DC1FE5"/>
    <w:rsid w:val="00DC26ED"/>
    <w:rsid w:val="00DC3E2D"/>
    <w:rsid w:val="00DC4981"/>
    <w:rsid w:val="00DC4D97"/>
    <w:rsid w:val="00DC4ECD"/>
    <w:rsid w:val="00DC4F0C"/>
    <w:rsid w:val="00DC504A"/>
    <w:rsid w:val="00DC6237"/>
    <w:rsid w:val="00DC655F"/>
    <w:rsid w:val="00DC695A"/>
    <w:rsid w:val="00DC6D0D"/>
    <w:rsid w:val="00DC7BE9"/>
    <w:rsid w:val="00DC7F9F"/>
    <w:rsid w:val="00DD0B59"/>
    <w:rsid w:val="00DD0C32"/>
    <w:rsid w:val="00DD10D4"/>
    <w:rsid w:val="00DD1C0F"/>
    <w:rsid w:val="00DD24AF"/>
    <w:rsid w:val="00DD2BB7"/>
    <w:rsid w:val="00DD34DF"/>
    <w:rsid w:val="00DD3D0A"/>
    <w:rsid w:val="00DD42D1"/>
    <w:rsid w:val="00DD44F4"/>
    <w:rsid w:val="00DD4A70"/>
    <w:rsid w:val="00DD5838"/>
    <w:rsid w:val="00DD5A56"/>
    <w:rsid w:val="00DD6623"/>
    <w:rsid w:val="00DD6873"/>
    <w:rsid w:val="00DD73E4"/>
    <w:rsid w:val="00DD767B"/>
    <w:rsid w:val="00DD76F3"/>
    <w:rsid w:val="00DD76FA"/>
    <w:rsid w:val="00DD7774"/>
    <w:rsid w:val="00DD7AB6"/>
    <w:rsid w:val="00DD7DCA"/>
    <w:rsid w:val="00DD7DE1"/>
    <w:rsid w:val="00DD7EBD"/>
    <w:rsid w:val="00DE07FD"/>
    <w:rsid w:val="00DE091B"/>
    <w:rsid w:val="00DE0B0E"/>
    <w:rsid w:val="00DE1088"/>
    <w:rsid w:val="00DE11D1"/>
    <w:rsid w:val="00DE1316"/>
    <w:rsid w:val="00DE201C"/>
    <w:rsid w:val="00DE2605"/>
    <w:rsid w:val="00DE2791"/>
    <w:rsid w:val="00DE2CA5"/>
    <w:rsid w:val="00DE3484"/>
    <w:rsid w:val="00DE3518"/>
    <w:rsid w:val="00DE371A"/>
    <w:rsid w:val="00DE37DD"/>
    <w:rsid w:val="00DE3E56"/>
    <w:rsid w:val="00DE3F2E"/>
    <w:rsid w:val="00DE4683"/>
    <w:rsid w:val="00DE4CD2"/>
    <w:rsid w:val="00DE56EE"/>
    <w:rsid w:val="00DE5E82"/>
    <w:rsid w:val="00DE60A8"/>
    <w:rsid w:val="00DE60D7"/>
    <w:rsid w:val="00DE618F"/>
    <w:rsid w:val="00DE7363"/>
    <w:rsid w:val="00DE753C"/>
    <w:rsid w:val="00DE7E60"/>
    <w:rsid w:val="00DF004F"/>
    <w:rsid w:val="00DF21E9"/>
    <w:rsid w:val="00DF24E3"/>
    <w:rsid w:val="00DF2C44"/>
    <w:rsid w:val="00DF32B5"/>
    <w:rsid w:val="00DF346D"/>
    <w:rsid w:val="00DF3BB7"/>
    <w:rsid w:val="00DF4D26"/>
    <w:rsid w:val="00DF60FB"/>
    <w:rsid w:val="00DF6118"/>
    <w:rsid w:val="00DF62B6"/>
    <w:rsid w:val="00DF775F"/>
    <w:rsid w:val="00DF77B2"/>
    <w:rsid w:val="00DF7893"/>
    <w:rsid w:val="00DF7C10"/>
    <w:rsid w:val="00E00AB6"/>
    <w:rsid w:val="00E00F16"/>
    <w:rsid w:val="00E028C3"/>
    <w:rsid w:val="00E0334C"/>
    <w:rsid w:val="00E03B48"/>
    <w:rsid w:val="00E058BD"/>
    <w:rsid w:val="00E058F8"/>
    <w:rsid w:val="00E05CAE"/>
    <w:rsid w:val="00E05F5E"/>
    <w:rsid w:val="00E05FBA"/>
    <w:rsid w:val="00E069FA"/>
    <w:rsid w:val="00E07225"/>
    <w:rsid w:val="00E0771D"/>
    <w:rsid w:val="00E07860"/>
    <w:rsid w:val="00E1031B"/>
    <w:rsid w:val="00E10B0C"/>
    <w:rsid w:val="00E11301"/>
    <w:rsid w:val="00E12060"/>
    <w:rsid w:val="00E1257D"/>
    <w:rsid w:val="00E12820"/>
    <w:rsid w:val="00E12D26"/>
    <w:rsid w:val="00E13A0D"/>
    <w:rsid w:val="00E13A95"/>
    <w:rsid w:val="00E13F09"/>
    <w:rsid w:val="00E13F1A"/>
    <w:rsid w:val="00E14191"/>
    <w:rsid w:val="00E144F3"/>
    <w:rsid w:val="00E157CB"/>
    <w:rsid w:val="00E171D3"/>
    <w:rsid w:val="00E17703"/>
    <w:rsid w:val="00E17D6D"/>
    <w:rsid w:val="00E20E99"/>
    <w:rsid w:val="00E217AA"/>
    <w:rsid w:val="00E217FE"/>
    <w:rsid w:val="00E21A69"/>
    <w:rsid w:val="00E21C5E"/>
    <w:rsid w:val="00E21F7A"/>
    <w:rsid w:val="00E22A0C"/>
    <w:rsid w:val="00E22B31"/>
    <w:rsid w:val="00E22D96"/>
    <w:rsid w:val="00E23258"/>
    <w:rsid w:val="00E23369"/>
    <w:rsid w:val="00E23770"/>
    <w:rsid w:val="00E2383C"/>
    <w:rsid w:val="00E23F3C"/>
    <w:rsid w:val="00E2405C"/>
    <w:rsid w:val="00E24AC5"/>
    <w:rsid w:val="00E24D04"/>
    <w:rsid w:val="00E253A2"/>
    <w:rsid w:val="00E25BF3"/>
    <w:rsid w:val="00E25CC3"/>
    <w:rsid w:val="00E266F6"/>
    <w:rsid w:val="00E26D3B"/>
    <w:rsid w:val="00E27580"/>
    <w:rsid w:val="00E3004C"/>
    <w:rsid w:val="00E3078E"/>
    <w:rsid w:val="00E30A4A"/>
    <w:rsid w:val="00E32DC4"/>
    <w:rsid w:val="00E33122"/>
    <w:rsid w:val="00E335DD"/>
    <w:rsid w:val="00E339AE"/>
    <w:rsid w:val="00E33E08"/>
    <w:rsid w:val="00E340A8"/>
    <w:rsid w:val="00E353DD"/>
    <w:rsid w:val="00E36314"/>
    <w:rsid w:val="00E36D49"/>
    <w:rsid w:val="00E37A23"/>
    <w:rsid w:val="00E37E8A"/>
    <w:rsid w:val="00E402E7"/>
    <w:rsid w:val="00E406A7"/>
    <w:rsid w:val="00E40D53"/>
    <w:rsid w:val="00E413D8"/>
    <w:rsid w:val="00E41896"/>
    <w:rsid w:val="00E41C9B"/>
    <w:rsid w:val="00E41D8D"/>
    <w:rsid w:val="00E41ED3"/>
    <w:rsid w:val="00E42063"/>
    <w:rsid w:val="00E4279B"/>
    <w:rsid w:val="00E432F7"/>
    <w:rsid w:val="00E43966"/>
    <w:rsid w:val="00E43D91"/>
    <w:rsid w:val="00E44AC7"/>
    <w:rsid w:val="00E46455"/>
    <w:rsid w:val="00E46592"/>
    <w:rsid w:val="00E46768"/>
    <w:rsid w:val="00E4744A"/>
    <w:rsid w:val="00E47555"/>
    <w:rsid w:val="00E4777A"/>
    <w:rsid w:val="00E47B09"/>
    <w:rsid w:val="00E511FA"/>
    <w:rsid w:val="00E51D12"/>
    <w:rsid w:val="00E525F9"/>
    <w:rsid w:val="00E52774"/>
    <w:rsid w:val="00E53080"/>
    <w:rsid w:val="00E5409F"/>
    <w:rsid w:val="00E540F5"/>
    <w:rsid w:val="00E558F2"/>
    <w:rsid w:val="00E55B0F"/>
    <w:rsid w:val="00E55C49"/>
    <w:rsid w:val="00E5655E"/>
    <w:rsid w:val="00E56D87"/>
    <w:rsid w:val="00E5740D"/>
    <w:rsid w:val="00E577EF"/>
    <w:rsid w:val="00E600E3"/>
    <w:rsid w:val="00E60183"/>
    <w:rsid w:val="00E6066C"/>
    <w:rsid w:val="00E62006"/>
    <w:rsid w:val="00E6217B"/>
    <w:rsid w:val="00E625A9"/>
    <w:rsid w:val="00E62C52"/>
    <w:rsid w:val="00E62F75"/>
    <w:rsid w:val="00E63716"/>
    <w:rsid w:val="00E637B3"/>
    <w:rsid w:val="00E63ACB"/>
    <w:rsid w:val="00E6447B"/>
    <w:rsid w:val="00E64588"/>
    <w:rsid w:val="00E6463F"/>
    <w:rsid w:val="00E64D04"/>
    <w:rsid w:val="00E64FA0"/>
    <w:rsid w:val="00E65A53"/>
    <w:rsid w:val="00E6631E"/>
    <w:rsid w:val="00E664C5"/>
    <w:rsid w:val="00E669B6"/>
    <w:rsid w:val="00E67523"/>
    <w:rsid w:val="00E67CF2"/>
    <w:rsid w:val="00E67E60"/>
    <w:rsid w:val="00E70867"/>
    <w:rsid w:val="00E70916"/>
    <w:rsid w:val="00E71615"/>
    <w:rsid w:val="00E71A2E"/>
    <w:rsid w:val="00E72348"/>
    <w:rsid w:val="00E7248A"/>
    <w:rsid w:val="00E727FB"/>
    <w:rsid w:val="00E72EC0"/>
    <w:rsid w:val="00E7344F"/>
    <w:rsid w:val="00E739DA"/>
    <w:rsid w:val="00E73B41"/>
    <w:rsid w:val="00E7401E"/>
    <w:rsid w:val="00E746D7"/>
    <w:rsid w:val="00E7477B"/>
    <w:rsid w:val="00E762E5"/>
    <w:rsid w:val="00E76C7F"/>
    <w:rsid w:val="00E77192"/>
    <w:rsid w:val="00E771F3"/>
    <w:rsid w:val="00E7743F"/>
    <w:rsid w:val="00E77588"/>
    <w:rsid w:val="00E775B3"/>
    <w:rsid w:val="00E77B54"/>
    <w:rsid w:val="00E80090"/>
    <w:rsid w:val="00E803F3"/>
    <w:rsid w:val="00E806DA"/>
    <w:rsid w:val="00E80700"/>
    <w:rsid w:val="00E80E2F"/>
    <w:rsid w:val="00E81E74"/>
    <w:rsid w:val="00E81F80"/>
    <w:rsid w:val="00E81FBC"/>
    <w:rsid w:val="00E820BB"/>
    <w:rsid w:val="00E82E01"/>
    <w:rsid w:val="00E8353C"/>
    <w:rsid w:val="00E83F4A"/>
    <w:rsid w:val="00E8434F"/>
    <w:rsid w:val="00E8447B"/>
    <w:rsid w:val="00E849D9"/>
    <w:rsid w:val="00E84A3C"/>
    <w:rsid w:val="00E853D6"/>
    <w:rsid w:val="00E854C9"/>
    <w:rsid w:val="00E856CE"/>
    <w:rsid w:val="00E85C39"/>
    <w:rsid w:val="00E85CCB"/>
    <w:rsid w:val="00E85FAC"/>
    <w:rsid w:val="00E866DC"/>
    <w:rsid w:val="00E86A58"/>
    <w:rsid w:val="00E8709F"/>
    <w:rsid w:val="00E87343"/>
    <w:rsid w:val="00E87694"/>
    <w:rsid w:val="00E877DC"/>
    <w:rsid w:val="00E879BB"/>
    <w:rsid w:val="00E87BBA"/>
    <w:rsid w:val="00E9119F"/>
    <w:rsid w:val="00E91B2F"/>
    <w:rsid w:val="00E92185"/>
    <w:rsid w:val="00E92451"/>
    <w:rsid w:val="00E92B80"/>
    <w:rsid w:val="00E93663"/>
    <w:rsid w:val="00E93D39"/>
    <w:rsid w:val="00E94053"/>
    <w:rsid w:val="00E9423D"/>
    <w:rsid w:val="00E9491F"/>
    <w:rsid w:val="00E94C63"/>
    <w:rsid w:val="00E94EBA"/>
    <w:rsid w:val="00E959E2"/>
    <w:rsid w:val="00E95B9B"/>
    <w:rsid w:val="00E95C85"/>
    <w:rsid w:val="00E97941"/>
    <w:rsid w:val="00E979BB"/>
    <w:rsid w:val="00EA0670"/>
    <w:rsid w:val="00EA0679"/>
    <w:rsid w:val="00EA0B99"/>
    <w:rsid w:val="00EA0BC7"/>
    <w:rsid w:val="00EA0C85"/>
    <w:rsid w:val="00EA1A6D"/>
    <w:rsid w:val="00EA1E06"/>
    <w:rsid w:val="00EA226E"/>
    <w:rsid w:val="00EA32AA"/>
    <w:rsid w:val="00EA400B"/>
    <w:rsid w:val="00EA44EB"/>
    <w:rsid w:val="00EA519B"/>
    <w:rsid w:val="00EA573F"/>
    <w:rsid w:val="00EA6023"/>
    <w:rsid w:val="00EA6178"/>
    <w:rsid w:val="00EA7E33"/>
    <w:rsid w:val="00EB011B"/>
    <w:rsid w:val="00EB029D"/>
    <w:rsid w:val="00EB0F58"/>
    <w:rsid w:val="00EB10E5"/>
    <w:rsid w:val="00EB1643"/>
    <w:rsid w:val="00EB1D37"/>
    <w:rsid w:val="00EB2CA7"/>
    <w:rsid w:val="00EB2D43"/>
    <w:rsid w:val="00EB37CE"/>
    <w:rsid w:val="00EB3A20"/>
    <w:rsid w:val="00EB3E03"/>
    <w:rsid w:val="00EB500E"/>
    <w:rsid w:val="00EB5DD0"/>
    <w:rsid w:val="00EB62B6"/>
    <w:rsid w:val="00EB62F3"/>
    <w:rsid w:val="00EB661D"/>
    <w:rsid w:val="00EB6631"/>
    <w:rsid w:val="00EB6D18"/>
    <w:rsid w:val="00EB6D67"/>
    <w:rsid w:val="00EB7B9D"/>
    <w:rsid w:val="00EB7BE9"/>
    <w:rsid w:val="00EB7FF5"/>
    <w:rsid w:val="00EC0270"/>
    <w:rsid w:val="00EC0317"/>
    <w:rsid w:val="00EC0898"/>
    <w:rsid w:val="00EC23F4"/>
    <w:rsid w:val="00EC2474"/>
    <w:rsid w:val="00EC2C38"/>
    <w:rsid w:val="00EC31DE"/>
    <w:rsid w:val="00EC3273"/>
    <w:rsid w:val="00EC3581"/>
    <w:rsid w:val="00EC36CB"/>
    <w:rsid w:val="00EC3CFA"/>
    <w:rsid w:val="00EC3D95"/>
    <w:rsid w:val="00EC42E5"/>
    <w:rsid w:val="00EC4509"/>
    <w:rsid w:val="00EC5AB3"/>
    <w:rsid w:val="00EC5D40"/>
    <w:rsid w:val="00EC5E81"/>
    <w:rsid w:val="00EC62F1"/>
    <w:rsid w:val="00ED1135"/>
    <w:rsid w:val="00ED132B"/>
    <w:rsid w:val="00ED1B23"/>
    <w:rsid w:val="00ED1FA8"/>
    <w:rsid w:val="00ED20C2"/>
    <w:rsid w:val="00ED2522"/>
    <w:rsid w:val="00ED26E0"/>
    <w:rsid w:val="00ED27B5"/>
    <w:rsid w:val="00ED3262"/>
    <w:rsid w:val="00ED349A"/>
    <w:rsid w:val="00ED3642"/>
    <w:rsid w:val="00ED36AA"/>
    <w:rsid w:val="00ED3899"/>
    <w:rsid w:val="00ED3986"/>
    <w:rsid w:val="00ED43A5"/>
    <w:rsid w:val="00ED4D05"/>
    <w:rsid w:val="00ED608D"/>
    <w:rsid w:val="00ED6240"/>
    <w:rsid w:val="00ED6CBF"/>
    <w:rsid w:val="00ED722E"/>
    <w:rsid w:val="00EE0BB3"/>
    <w:rsid w:val="00EE0C4A"/>
    <w:rsid w:val="00EE189D"/>
    <w:rsid w:val="00EE1BF1"/>
    <w:rsid w:val="00EE1D82"/>
    <w:rsid w:val="00EE2172"/>
    <w:rsid w:val="00EE2D97"/>
    <w:rsid w:val="00EE3487"/>
    <w:rsid w:val="00EE35CC"/>
    <w:rsid w:val="00EE3C71"/>
    <w:rsid w:val="00EE4741"/>
    <w:rsid w:val="00EE4CD5"/>
    <w:rsid w:val="00EE5378"/>
    <w:rsid w:val="00EE558C"/>
    <w:rsid w:val="00EE566B"/>
    <w:rsid w:val="00EE58F1"/>
    <w:rsid w:val="00EE5A5A"/>
    <w:rsid w:val="00EE5E70"/>
    <w:rsid w:val="00EE6231"/>
    <w:rsid w:val="00EE6380"/>
    <w:rsid w:val="00EE6488"/>
    <w:rsid w:val="00EE7B4D"/>
    <w:rsid w:val="00EE7BA5"/>
    <w:rsid w:val="00EE7C27"/>
    <w:rsid w:val="00EF001B"/>
    <w:rsid w:val="00EF029C"/>
    <w:rsid w:val="00EF09E6"/>
    <w:rsid w:val="00EF0E7E"/>
    <w:rsid w:val="00EF12BB"/>
    <w:rsid w:val="00EF1857"/>
    <w:rsid w:val="00EF1A1A"/>
    <w:rsid w:val="00EF2374"/>
    <w:rsid w:val="00EF2D33"/>
    <w:rsid w:val="00EF3509"/>
    <w:rsid w:val="00EF3B96"/>
    <w:rsid w:val="00EF3D57"/>
    <w:rsid w:val="00EF461A"/>
    <w:rsid w:val="00EF5CFE"/>
    <w:rsid w:val="00EF632C"/>
    <w:rsid w:val="00EF6C8D"/>
    <w:rsid w:val="00EF7574"/>
    <w:rsid w:val="00F000CE"/>
    <w:rsid w:val="00F004BE"/>
    <w:rsid w:val="00F0066B"/>
    <w:rsid w:val="00F007D5"/>
    <w:rsid w:val="00F01822"/>
    <w:rsid w:val="00F019DA"/>
    <w:rsid w:val="00F01B35"/>
    <w:rsid w:val="00F021FA"/>
    <w:rsid w:val="00F0261C"/>
    <w:rsid w:val="00F02624"/>
    <w:rsid w:val="00F02DBB"/>
    <w:rsid w:val="00F02F44"/>
    <w:rsid w:val="00F03479"/>
    <w:rsid w:val="00F0359F"/>
    <w:rsid w:val="00F03868"/>
    <w:rsid w:val="00F0395C"/>
    <w:rsid w:val="00F03F27"/>
    <w:rsid w:val="00F04E8D"/>
    <w:rsid w:val="00F04F73"/>
    <w:rsid w:val="00F06330"/>
    <w:rsid w:val="00F06CDE"/>
    <w:rsid w:val="00F076C5"/>
    <w:rsid w:val="00F07786"/>
    <w:rsid w:val="00F07C27"/>
    <w:rsid w:val="00F07F68"/>
    <w:rsid w:val="00F07FA1"/>
    <w:rsid w:val="00F10A86"/>
    <w:rsid w:val="00F10C67"/>
    <w:rsid w:val="00F10DCA"/>
    <w:rsid w:val="00F10FFA"/>
    <w:rsid w:val="00F11B94"/>
    <w:rsid w:val="00F1221F"/>
    <w:rsid w:val="00F12751"/>
    <w:rsid w:val="00F12B79"/>
    <w:rsid w:val="00F12EB9"/>
    <w:rsid w:val="00F12FFC"/>
    <w:rsid w:val="00F13761"/>
    <w:rsid w:val="00F13971"/>
    <w:rsid w:val="00F1440E"/>
    <w:rsid w:val="00F14806"/>
    <w:rsid w:val="00F14ABE"/>
    <w:rsid w:val="00F1501F"/>
    <w:rsid w:val="00F1513E"/>
    <w:rsid w:val="00F1584E"/>
    <w:rsid w:val="00F15A5B"/>
    <w:rsid w:val="00F15C4B"/>
    <w:rsid w:val="00F17069"/>
    <w:rsid w:val="00F17719"/>
    <w:rsid w:val="00F1771F"/>
    <w:rsid w:val="00F17C52"/>
    <w:rsid w:val="00F20705"/>
    <w:rsid w:val="00F20CAA"/>
    <w:rsid w:val="00F2126E"/>
    <w:rsid w:val="00F21945"/>
    <w:rsid w:val="00F22632"/>
    <w:rsid w:val="00F23520"/>
    <w:rsid w:val="00F235B9"/>
    <w:rsid w:val="00F2382B"/>
    <w:rsid w:val="00F24185"/>
    <w:rsid w:val="00F24883"/>
    <w:rsid w:val="00F24B7B"/>
    <w:rsid w:val="00F24CC3"/>
    <w:rsid w:val="00F25088"/>
    <w:rsid w:val="00F250A7"/>
    <w:rsid w:val="00F2575F"/>
    <w:rsid w:val="00F26560"/>
    <w:rsid w:val="00F26927"/>
    <w:rsid w:val="00F26B7C"/>
    <w:rsid w:val="00F26C13"/>
    <w:rsid w:val="00F27167"/>
    <w:rsid w:val="00F27478"/>
    <w:rsid w:val="00F2763B"/>
    <w:rsid w:val="00F27A28"/>
    <w:rsid w:val="00F3027E"/>
    <w:rsid w:val="00F30C5D"/>
    <w:rsid w:val="00F314AD"/>
    <w:rsid w:val="00F317FA"/>
    <w:rsid w:val="00F3199E"/>
    <w:rsid w:val="00F32D60"/>
    <w:rsid w:val="00F330CB"/>
    <w:rsid w:val="00F33237"/>
    <w:rsid w:val="00F33F48"/>
    <w:rsid w:val="00F3424B"/>
    <w:rsid w:val="00F34788"/>
    <w:rsid w:val="00F34B2F"/>
    <w:rsid w:val="00F354DF"/>
    <w:rsid w:val="00F35ED6"/>
    <w:rsid w:val="00F36A89"/>
    <w:rsid w:val="00F373A3"/>
    <w:rsid w:val="00F37413"/>
    <w:rsid w:val="00F3792D"/>
    <w:rsid w:val="00F37CF7"/>
    <w:rsid w:val="00F400EA"/>
    <w:rsid w:val="00F40620"/>
    <w:rsid w:val="00F40A40"/>
    <w:rsid w:val="00F414FC"/>
    <w:rsid w:val="00F4159D"/>
    <w:rsid w:val="00F415CA"/>
    <w:rsid w:val="00F419C6"/>
    <w:rsid w:val="00F41F02"/>
    <w:rsid w:val="00F424F2"/>
    <w:rsid w:val="00F427B0"/>
    <w:rsid w:val="00F427BF"/>
    <w:rsid w:val="00F430EA"/>
    <w:rsid w:val="00F43A4B"/>
    <w:rsid w:val="00F43CFA"/>
    <w:rsid w:val="00F44450"/>
    <w:rsid w:val="00F4459B"/>
    <w:rsid w:val="00F44630"/>
    <w:rsid w:val="00F4479A"/>
    <w:rsid w:val="00F45E2D"/>
    <w:rsid w:val="00F470CB"/>
    <w:rsid w:val="00F47727"/>
    <w:rsid w:val="00F5065B"/>
    <w:rsid w:val="00F50B14"/>
    <w:rsid w:val="00F51C8B"/>
    <w:rsid w:val="00F51CA1"/>
    <w:rsid w:val="00F51CA2"/>
    <w:rsid w:val="00F52521"/>
    <w:rsid w:val="00F52711"/>
    <w:rsid w:val="00F5394F"/>
    <w:rsid w:val="00F54685"/>
    <w:rsid w:val="00F546F8"/>
    <w:rsid w:val="00F54A1F"/>
    <w:rsid w:val="00F55084"/>
    <w:rsid w:val="00F55B90"/>
    <w:rsid w:val="00F5681F"/>
    <w:rsid w:val="00F5693F"/>
    <w:rsid w:val="00F56F73"/>
    <w:rsid w:val="00F57427"/>
    <w:rsid w:val="00F60B92"/>
    <w:rsid w:val="00F61165"/>
    <w:rsid w:val="00F6188C"/>
    <w:rsid w:val="00F6215F"/>
    <w:rsid w:val="00F62889"/>
    <w:rsid w:val="00F62E97"/>
    <w:rsid w:val="00F638D5"/>
    <w:rsid w:val="00F64009"/>
    <w:rsid w:val="00F64209"/>
    <w:rsid w:val="00F6465D"/>
    <w:rsid w:val="00F647C2"/>
    <w:rsid w:val="00F647DD"/>
    <w:rsid w:val="00F654EB"/>
    <w:rsid w:val="00F668E5"/>
    <w:rsid w:val="00F66CD6"/>
    <w:rsid w:val="00F67424"/>
    <w:rsid w:val="00F67FD2"/>
    <w:rsid w:val="00F704C2"/>
    <w:rsid w:val="00F707E6"/>
    <w:rsid w:val="00F719D5"/>
    <w:rsid w:val="00F72625"/>
    <w:rsid w:val="00F73207"/>
    <w:rsid w:val="00F741CD"/>
    <w:rsid w:val="00F763E4"/>
    <w:rsid w:val="00F76CF1"/>
    <w:rsid w:val="00F7707C"/>
    <w:rsid w:val="00F77660"/>
    <w:rsid w:val="00F7792E"/>
    <w:rsid w:val="00F77BCF"/>
    <w:rsid w:val="00F80202"/>
    <w:rsid w:val="00F80897"/>
    <w:rsid w:val="00F810C3"/>
    <w:rsid w:val="00F816C5"/>
    <w:rsid w:val="00F81CF3"/>
    <w:rsid w:val="00F81E5A"/>
    <w:rsid w:val="00F8309A"/>
    <w:rsid w:val="00F847B5"/>
    <w:rsid w:val="00F84811"/>
    <w:rsid w:val="00F84C70"/>
    <w:rsid w:val="00F852BB"/>
    <w:rsid w:val="00F8542B"/>
    <w:rsid w:val="00F85DDC"/>
    <w:rsid w:val="00F85E57"/>
    <w:rsid w:val="00F86858"/>
    <w:rsid w:val="00F86B4F"/>
    <w:rsid w:val="00F90277"/>
    <w:rsid w:val="00F90390"/>
    <w:rsid w:val="00F90E09"/>
    <w:rsid w:val="00F927EA"/>
    <w:rsid w:val="00F92A94"/>
    <w:rsid w:val="00F93118"/>
    <w:rsid w:val="00F9366F"/>
    <w:rsid w:val="00F93BF5"/>
    <w:rsid w:val="00F93C7C"/>
    <w:rsid w:val="00F93D01"/>
    <w:rsid w:val="00F93D15"/>
    <w:rsid w:val="00F94780"/>
    <w:rsid w:val="00F94B1F"/>
    <w:rsid w:val="00F94DBC"/>
    <w:rsid w:val="00F953BA"/>
    <w:rsid w:val="00F957AF"/>
    <w:rsid w:val="00F960DC"/>
    <w:rsid w:val="00F97142"/>
    <w:rsid w:val="00F9732D"/>
    <w:rsid w:val="00F97E29"/>
    <w:rsid w:val="00FA02F3"/>
    <w:rsid w:val="00FA13EA"/>
    <w:rsid w:val="00FA2792"/>
    <w:rsid w:val="00FA28B4"/>
    <w:rsid w:val="00FA29A6"/>
    <w:rsid w:val="00FA2F09"/>
    <w:rsid w:val="00FA3DFF"/>
    <w:rsid w:val="00FA589D"/>
    <w:rsid w:val="00FA5AAF"/>
    <w:rsid w:val="00FA6033"/>
    <w:rsid w:val="00FA62B1"/>
    <w:rsid w:val="00FA649F"/>
    <w:rsid w:val="00FA688A"/>
    <w:rsid w:val="00FA68A6"/>
    <w:rsid w:val="00FA7609"/>
    <w:rsid w:val="00FA7C28"/>
    <w:rsid w:val="00FB041D"/>
    <w:rsid w:val="00FB0E8F"/>
    <w:rsid w:val="00FB1C2D"/>
    <w:rsid w:val="00FB2FC4"/>
    <w:rsid w:val="00FB3158"/>
    <w:rsid w:val="00FB3ACA"/>
    <w:rsid w:val="00FB40A2"/>
    <w:rsid w:val="00FB49EB"/>
    <w:rsid w:val="00FB4CF8"/>
    <w:rsid w:val="00FB4FA7"/>
    <w:rsid w:val="00FB568A"/>
    <w:rsid w:val="00FB5D89"/>
    <w:rsid w:val="00FB62F3"/>
    <w:rsid w:val="00FB643D"/>
    <w:rsid w:val="00FB676A"/>
    <w:rsid w:val="00FB68FE"/>
    <w:rsid w:val="00FB6A35"/>
    <w:rsid w:val="00FB7207"/>
    <w:rsid w:val="00FB77D7"/>
    <w:rsid w:val="00FB7CE9"/>
    <w:rsid w:val="00FC01E7"/>
    <w:rsid w:val="00FC0BCF"/>
    <w:rsid w:val="00FC0D74"/>
    <w:rsid w:val="00FC1587"/>
    <w:rsid w:val="00FC1C30"/>
    <w:rsid w:val="00FC1C75"/>
    <w:rsid w:val="00FC27B1"/>
    <w:rsid w:val="00FC32E8"/>
    <w:rsid w:val="00FC369A"/>
    <w:rsid w:val="00FC38A7"/>
    <w:rsid w:val="00FC42F8"/>
    <w:rsid w:val="00FC5221"/>
    <w:rsid w:val="00FC577D"/>
    <w:rsid w:val="00FC618E"/>
    <w:rsid w:val="00FC67EB"/>
    <w:rsid w:val="00FC68E8"/>
    <w:rsid w:val="00FC735D"/>
    <w:rsid w:val="00FC78B1"/>
    <w:rsid w:val="00FD0219"/>
    <w:rsid w:val="00FD14BB"/>
    <w:rsid w:val="00FD2BE1"/>
    <w:rsid w:val="00FD2F7D"/>
    <w:rsid w:val="00FD3074"/>
    <w:rsid w:val="00FD3DB6"/>
    <w:rsid w:val="00FD52EA"/>
    <w:rsid w:val="00FD571B"/>
    <w:rsid w:val="00FD5775"/>
    <w:rsid w:val="00FD5EC4"/>
    <w:rsid w:val="00FD6199"/>
    <w:rsid w:val="00FD64BC"/>
    <w:rsid w:val="00FD6A56"/>
    <w:rsid w:val="00FD6C00"/>
    <w:rsid w:val="00FD6C34"/>
    <w:rsid w:val="00FD6DE5"/>
    <w:rsid w:val="00FD7062"/>
    <w:rsid w:val="00FD7117"/>
    <w:rsid w:val="00FD7948"/>
    <w:rsid w:val="00FD7BD1"/>
    <w:rsid w:val="00FD7D02"/>
    <w:rsid w:val="00FE01ED"/>
    <w:rsid w:val="00FE0552"/>
    <w:rsid w:val="00FE0F56"/>
    <w:rsid w:val="00FE18CC"/>
    <w:rsid w:val="00FE199E"/>
    <w:rsid w:val="00FE1ED6"/>
    <w:rsid w:val="00FE1F9E"/>
    <w:rsid w:val="00FE2298"/>
    <w:rsid w:val="00FE3016"/>
    <w:rsid w:val="00FE30CC"/>
    <w:rsid w:val="00FE3408"/>
    <w:rsid w:val="00FE41DD"/>
    <w:rsid w:val="00FE446B"/>
    <w:rsid w:val="00FE4A89"/>
    <w:rsid w:val="00FE5E17"/>
    <w:rsid w:val="00FE6914"/>
    <w:rsid w:val="00FE695F"/>
    <w:rsid w:val="00FE71B6"/>
    <w:rsid w:val="00FE72CD"/>
    <w:rsid w:val="00FE7494"/>
    <w:rsid w:val="00FF01F5"/>
    <w:rsid w:val="00FF0437"/>
    <w:rsid w:val="00FF06D2"/>
    <w:rsid w:val="00FF1367"/>
    <w:rsid w:val="00FF1962"/>
    <w:rsid w:val="00FF1CFA"/>
    <w:rsid w:val="00FF1F13"/>
    <w:rsid w:val="00FF214B"/>
    <w:rsid w:val="00FF23A0"/>
    <w:rsid w:val="00FF3B7C"/>
    <w:rsid w:val="00FF3ED0"/>
    <w:rsid w:val="00FF3FC0"/>
    <w:rsid w:val="00FF40AA"/>
    <w:rsid w:val="00FF43E0"/>
    <w:rsid w:val="00FF441B"/>
    <w:rsid w:val="00FF527E"/>
    <w:rsid w:val="00FF572A"/>
    <w:rsid w:val="00FF672B"/>
    <w:rsid w:val="00FF679C"/>
    <w:rsid w:val="00FF6876"/>
    <w:rsid w:val="00FF6FDE"/>
    <w:rsid w:val="00FF7D54"/>
    <w:rsid w:val="07E95847"/>
    <w:rsid w:val="0A831448"/>
    <w:rsid w:val="10169BF6"/>
    <w:rsid w:val="12341E33"/>
    <w:rsid w:val="137A91AF"/>
    <w:rsid w:val="13DDB2C6"/>
    <w:rsid w:val="152AD10B"/>
    <w:rsid w:val="16893261"/>
    <w:rsid w:val="1AA480FA"/>
    <w:rsid w:val="1B7DB86C"/>
    <w:rsid w:val="209B057E"/>
    <w:rsid w:val="24E97C35"/>
    <w:rsid w:val="255FCAE1"/>
    <w:rsid w:val="2A69B5E7"/>
    <w:rsid w:val="40754B4C"/>
    <w:rsid w:val="44A063A7"/>
    <w:rsid w:val="45C1EE65"/>
    <w:rsid w:val="46871F44"/>
    <w:rsid w:val="4D5F4E2A"/>
    <w:rsid w:val="4FC45F46"/>
    <w:rsid w:val="52A35B32"/>
    <w:rsid w:val="55E78D19"/>
    <w:rsid w:val="56E8D3B3"/>
    <w:rsid w:val="58D35CAB"/>
    <w:rsid w:val="603B68A4"/>
    <w:rsid w:val="65197BE3"/>
    <w:rsid w:val="6988CD16"/>
    <w:rsid w:val="70E5E997"/>
    <w:rsid w:val="71CEEF87"/>
    <w:rsid w:val="791CF664"/>
    <w:rsid w:val="7DF1E91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99E"/>
    <w:rPr>
      <w:rFonts w:eastAsia="MS Mincho" w:cs="Arial"/>
      <w:bCs/>
      <w:kern w:val="32"/>
      <w:sz w:val="22"/>
      <w:szCs w:val="32"/>
      <w:lang w:eastAsia="ja-JP"/>
    </w:rPr>
  </w:style>
  <w:style w:type="paragraph" w:styleId="Heading1">
    <w:name w:val="heading 1"/>
    <w:basedOn w:val="Normal"/>
    <w:next w:val="ParaNum"/>
    <w:link w:val="Heading1Char"/>
    <w:qFormat/>
    <w:rsid w:val="00626EB6"/>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A0777D"/>
    <w:pPr>
      <w:keepNext/>
      <w:numPr>
        <w:ilvl w:val="1"/>
        <w:numId w:val="3"/>
      </w:numPr>
      <w:spacing w:before="120" w:after="120"/>
      <w:ind w:left="1627"/>
      <w:outlineLvl w:val="1"/>
    </w:pPr>
    <w:rPr>
      <w:b/>
      <w:szCs w:val="22"/>
      <w:u w:val="single"/>
    </w:rPr>
  </w:style>
  <w:style w:type="paragraph" w:styleId="Heading3">
    <w:name w:val="heading 3"/>
    <w:basedOn w:val="Normal"/>
    <w:next w:val="ParaNum"/>
    <w:link w:val="Heading3Char"/>
    <w:qFormat/>
    <w:rsid w:val="00BA6196"/>
    <w:pPr>
      <w:keepNext/>
      <w:numPr>
        <w:ilvl w:val="2"/>
        <w:numId w:val="3"/>
      </w:numPr>
      <w:spacing w:after="120"/>
      <w:outlineLvl w:val="2"/>
    </w:pPr>
    <w:rPr>
      <w:b/>
    </w:rPr>
  </w:style>
  <w:style w:type="paragraph" w:styleId="Heading4">
    <w:name w:val="heading 4"/>
    <w:basedOn w:val="Normal"/>
    <w:next w:val="ParaNum"/>
    <w:link w:val="Heading4Char"/>
    <w:qFormat/>
    <w:rsid w:val="00C426B1"/>
    <w:pPr>
      <w:keepNext/>
      <w:numPr>
        <w:ilvl w:val="3"/>
        <w:numId w:val="3"/>
      </w:numPr>
      <w:spacing w:after="120"/>
      <w:outlineLvl w:val="3"/>
    </w:pPr>
    <w:rPr>
      <w:b/>
    </w:rPr>
  </w:style>
  <w:style w:type="paragraph" w:styleId="Heading5">
    <w:name w:val="heading 5"/>
    <w:basedOn w:val="Normal"/>
    <w:next w:val="ParaNum"/>
    <w:link w:val="Heading5Char"/>
    <w:qFormat/>
    <w:rsid w:val="00511968"/>
    <w:pPr>
      <w:keepNext/>
      <w:numPr>
        <w:ilvl w:val="4"/>
        <w:numId w:val="3"/>
      </w:numPr>
      <w:suppressAutoHyphens/>
      <w:spacing w:after="120"/>
      <w:outlineLvl w:val="4"/>
    </w:pPr>
    <w:rPr>
      <w:b/>
    </w:rPr>
  </w:style>
  <w:style w:type="paragraph" w:styleId="Heading6">
    <w:name w:val="heading 6"/>
    <w:basedOn w:val="Normal"/>
    <w:next w:val="ParaNum"/>
    <w:link w:val="Heading6Char"/>
    <w:qFormat/>
    <w:rsid w:val="00036039"/>
    <w:pPr>
      <w:numPr>
        <w:ilvl w:val="5"/>
        <w:numId w:val="3"/>
      </w:numPr>
      <w:spacing w:after="120"/>
      <w:outlineLvl w:val="5"/>
    </w:pPr>
    <w:rPr>
      <w:b/>
    </w:rPr>
  </w:style>
  <w:style w:type="paragraph" w:styleId="Heading7">
    <w:name w:val="heading 7"/>
    <w:basedOn w:val="Normal"/>
    <w:next w:val="ParaNum"/>
    <w:link w:val="Heading7Char"/>
    <w:qFormat/>
    <w:rsid w:val="00036039"/>
    <w:pPr>
      <w:numPr>
        <w:ilvl w:val="6"/>
        <w:numId w:val="3"/>
      </w:numPr>
      <w:spacing w:after="120"/>
      <w:outlineLvl w:val="6"/>
    </w:pPr>
    <w:rPr>
      <w:b/>
    </w:rPr>
  </w:style>
  <w:style w:type="paragraph" w:styleId="Heading8">
    <w:name w:val="heading 8"/>
    <w:basedOn w:val="Normal"/>
    <w:next w:val="ParaNum"/>
    <w:link w:val="Heading8Char"/>
    <w:qFormat/>
    <w:rsid w:val="001E01CA"/>
    <w:pPr>
      <w:numPr>
        <w:ilvl w:val="7"/>
        <w:numId w:val="3"/>
      </w:numPr>
      <w:tabs>
        <w:tab w:val="left" w:pos="5760"/>
      </w:tabs>
      <w:spacing w:after="120"/>
      <w:outlineLvl w:val="7"/>
    </w:pPr>
    <w:rPr>
      <w:b/>
    </w:rPr>
  </w:style>
  <w:style w:type="paragraph" w:styleId="Heading9">
    <w:name w:val="heading 9"/>
    <w:basedOn w:val="Normal"/>
    <w:next w:val="ParaNum"/>
    <w:link w:val="Heading9Char"/>
    <w:qFormat/>
    <w:rsid w:val="001E01CA"/>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1466"/>
    <w:rPr>
      <w:rFonts w:ascii="Times New Roman Bold" w:eastAsia="MS Mincho" w:hAnsi="Times New Roman Bold" w:cs="Arial"/>
      <w:b/>
      <w:bCs/>
      <w:caps/>
      <w:kern w:val="32"/>
      <w:sz w:val="22"/>
      <w:szCs w:val="32"/>
      <w:lang w:eastAsia="ja-JP"/>
    </w:rPr>
  </w:style>
  <w:style w:type="character" w:customStyle="1" w:styleId="Heading2Char">
    <w:name w:val="Heading 2 Char"/>
    <w:link w:val="Heading2"/>
    <w:locked/>
    <w:rsid w:val="00A0777D"/>
    <w:rPr>
      <w:rFonts w:eastAsia="MS Mincho" w:cs="Arial"/>
      <w:b/>
      <w:bCs/>
      <w:kern w:val="32"/>
      <w:sz w:val="22"/>
      <w:szCs w:val="22"/>
      <w:u w:val="single"/>
      <w:lang w:eastAsia="ja-JP"/>
    </w:rPr>
  </w:style>
  <w:style w:type="character" w:customStyle="1" w:styleId="Heading3Char">
    <w:name w:val="Heading 3 Char"/>
    <w:link w:val="Heading3"/>
    <w:locked/>
    <w:rsid w:val="007B1466"/>
    <w:rPr>
      <w:rFonts w:eastAsia="MS Mincho" w:cs="Arial"/>
      <w:b/>
      <w:bCs/>
      <w:kern w:val="32"/>
      <w:sz w:val="22"/>
      <w:szCs w:val="32"/>
      <w:lang w:eastAsia="ja-JP"/>
    </w:rPr>
  </w:style>
  <w:style w:type="character" w:customStyle="1" w:styleId="Heading4Char">
    <w:name w:val="Heading 4 Char"/>
    <w:link w:val="Heading4"/>
    <w:locked/>
    <w:rsid w:val="007B1466"/>
    <w:rPr>
      <w:rFonts w:eastAsia="MS Mincho" w:cs="Arial"/>
      <w:b/>
      <w:bCs/>
      <w:kern w:val="32"/>
      <w:sz w:val="22"/>
      <w:szCs w:val="32"/>
      <w:lang w:eastAsia="ja-JP"/>
    </w:rPr>
  </w:style>
  <w:style w:type="character" w:customStyle="1" w:styleId="Heading5Char">
    <w:name w:val="Heading 5 Char"/>
    <w:link w:val="Heading5"/>
    <w:locked/>
    <w:rsid w:val="007B1466"/>
    <w:rPr>
      <w:rFonts w:eastAsia="MS Mincho" w:cs="Arial"/>
      <w:b/>
      <w:bCs/>
      <w:kern w:val="32"/>
      <w:sz w:val="22"/>
      <w:szCs w:val="32"/>
      <w:lang w:eastAsia="ja-JP"/>
    </w:rPr>
  </w:style>
  <w:style w:type="character" w:customStyle="1" w:styleId="Heading6Char">
    <w:name w:val="Heading 6 Char"/>
    <w:link w:val="Heading6"/>
    <w:locked/>
    <w:rsid w:val="007B1466"/>
    <w:rPr>
      <w:rFonts w:eastAsia="MS Mincho" w:cs="Arial"/>
      <w:b/>
      <w:bCs/>
      <w:kern w:val="32"/>
      <w:sz w:val="22"/>
      <w:szCs w:val="32"/>
      <w:lang w:eastAsia="ja-JP"/>
    </w:rPr>
  </w:style>
  <w:style w:type="character" w:customStyle="1" w:styleId="Heading7Char">
    <w:name w:val="Heading 7 Char"/>
    <w:link w:val="Heading7"/>
    <w:locked/>
    <w:rsid w:val="007B1466"/>
    <w:rPr>
      <w:rFonts w:eastAsia="MS Mincho" w:cs="Arial"/>
      <w:b/>
      <w:bCs/>
      <w:kern w:val="32"/>
      <w:sz w:val="22"/>
      <w:szCs w:val="32"/>
      <w:lang w:eastAsia="ja-JP"/>
    </w:rPr>
  </w:style>
  <w:style w:type="character" w:customStyle="1" w:styleId="Heading8Char">
    <w:name w:val="Heading 8 Char"/>
    <w:link w:val="Heading8"/>
    <w:locked/>
    <w:rsid w:val="007B1466"/>
    <w:rPr>
      <w:rFonts w:eastAsia="MS Mincho" w:cs="Arial"/>
      <w:b/>
      <w:bCs/>
      <w:kern w:val="32"/>
      <w:sz w:val="22"/>
      <w:szCs w:val="32"/>
      <w:lang w:eastAsia="ja-JP"/>
    </w:rPr>
  </w:style>
  <w:style w:type="character" w:customStyle="1" w:styleId="Heading9Char">
    <w:name w:val="Heading 9 Char"/>
    <w:link w:val="Heading9"/>
    <w:locked/>
    <w:rsid w:val="007B1466"/>
    <w:rPr>
      <w:rFonts w:eastAsia="MS Mincho" w:cs="Arial"/>
      <w:b/>
      <w:bCs/>
      <w:kern w:val="32"/>
      <w:sz w:val="22"/>
      <w:szCs w:val="32"/>
      <w:lang w:eastAsia="ja-JP"/>
    </w:rPr>
  </w:style>
  <w:style w:type="paragraph" w:styleId="BalloonText">
    <w:name w:val="Balloon Text"/>
    <w:basedOn w:val="Normal"/>
    <w:link w:val="BalloonTextChar"/>
    <w:semiHidden/>
    <w:rsid w:val="00C92E9C"/>
    <w:rPr>
      <w:rFonts w:ascii="Tahoma" w:hAnsi="Tahoma" w:cs="Tahoma"/>
      <w:bCs w:val="0"/>
      <w:kern w:val="0"/>
      <w:sz w:val="16"/>
      <w:szCs w:val="16"/>
    </w:rPr>
  </w:style>
  <w:style w:type="character" w:customStyle="1" w:styleId="BalloonTextChar">
    <w:name w:val="Balloon Text Char"/>
    <w:link w:val="BalloonText"/>
    <w:semiHidden/>
    <w:locked/>
    <w:rsid w:val="00C92E9C"/>
    <w:rPr>
      <w:rFonts w:ascii="Tahoma" w:eastAsia="MS Mincho" w:hAnsi="Tahoma" w:cs="Times New Roman"/>
      <w:sz w:val="16"/>
      <w:lang w:val="en-US" w:eastAsia="ja-JP"/>
    </w:rPr>
  </w:style>
  <w:style w:type="paragraph" w:customStyle="1" w:styleId="ParaNum">
    <w:name w:val="ParaNum"/>
    <w:basedOn w:val="Normal"/>
    <w:link w:val="ParaNumChar"/>
    <w:rsid w:val="00E07225"/>
    <w:pPr>
      <w:numPr>
        <w:numId w:val="2"/>
      </w:numPr>
      <w:spacing w:after="120"/>
    </w:pPr>
  </w:style>
  <w:style w:type="paragraph" w:styleId="EndnoteText">
    <w:name w:val="endnote text"/>
    <w:basedOn w:val="Normal"/>
    <w:link w:val="EndnoteTextChar"/>
    <w:semiHidden/>
    <w:rsid w:val="00641B5D"/>
    <w:rPr>
      <w:sz w:val="20"/>
    </w:rPr>
  </w:style>
  <w:style w:type="character" w:customStyle="1" w:styleId="EndnoteTextChar">
    <w:name w:val="Endnote Text Char"/>
    <w:link w:val="EndnoteText"/>
    <w:semiHidden/>
    <w:locked/>
    <w:rsid w:val="007B1466"/>
    <w:rPr>
      <w:rFonts w:eastAsia="MS Mincho" w:cs="Arial"/>
      <w:bCs/>
      <w:kern w:val="32"/>
      <w:sz w:val="20"/>
      <w:szCs w:val="20"/>
      <w:lang w:val="x-none" w:eastAsia="ja-JP"/>
    </w:rPr>
  </w:style>
  <w:style w:type="character" w:styleId="EndnoteReference">
    <w:name w:val="endnote reference"/>
    <w:semiHidden/>
    <w:rsid w:val="00641B5D"/>
    <w:rPr>
      <w:rFonts w:cs="Times New Roman"/>
      <w:vertAlign w:val="superscript"/>
    </w:rPr>
  </w:style>
  <w:style w:type="paragraph" w:styleId="FootnoteText">
    <w:name w:val="footnote text"/>
    <w:aliases w:val="FOOTNOTE,Footnote Text Char2 Char1 Char1,Footnote Text Char2 Char1 Char1 Char Char,Footnote Text Char2 Char3,Footnote Text Char3 Char1,Footnote Text Char3 Char1 Char Char,Footnote Text Char3 Char1 Char Char Char Char,Footnote Text Char6,fn"/>
    <w:basedOn w:val="Normal"/>
    <w:link w:val="FootnoteTextChar1"/>
    <w:rsid w:val="000E3D42"/>
    <w:pPr>
      <w:spacing w:after="120"/>
    </w:pPr>
    <w:rPr>
      <w:rFonts w:eastAsia="Times New Roman" w:cs="Times New Roman"/>
      <w:bCs w:val="0"/>
      <w:kern w:val="0"/>
      <w:sz w:val="20"/>
      <w:szCs w:val="20"/>
      <w:lang w:eastAsia="en-US"/>
    </w:rPr>
  </w:style>
  <w:style w:type="character" w:customStyle="1" w:styleId="FootnoteTextChar">
    <w:name w:val="Footnote Text Char"/>
    <w:aliases w:val="Footnote Text Char2 Char1 Char1 Char,Footnote Text Char2 Char1 Char1 Char Char Char,Footnote Text Char3 Char1 Char,Footnote Text Char3 Char1 Char Char Char,Footnote Text Char3 Char1 Char Char Char Char Char,Footnote Text Char6 Char"/>
    <w:locked/>
    <w:rsid w:val="007B1466"/>
    <w:rPr>
      <w:rFonts w:eastAsia="MS Mincho" w:cs="Arial"/>
      <w:bCs/>
      <w:kern w:val="32"/>
      <w:sz w:val="20"/>
      <w:szCs w:val="20"/>
      <w:lang w:val="x-none" w:eastAsia="ja-JP"/>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641B5D"/>
    <w:rPr>
      <w:rFonts w:ascii="Times New Roman" w:hAnsi="Times New Roman" w:cs="Times New Roman"/>
      <w:color w:val="auto"/>
      <w:sz w:val="22"/>
      <w:vertAlign w:val="superscript"/>
    </w:rPr>
  </w:style>
  <w:style w:type="paragraph" w:styleId="TOC1">
    <w:name w:val="toc 1"/>
    <w:basedOn w:val="Normal"/>
    <w:next w:val="Normal"/>
    <w:uiPriority w:val="39"/>
    <w:rsid w:val="00641B5D"/>
    <w:pPr>
      <w:tabs>
        <w:tab w:val="left" w:pos="360"/>
        <w:tab w:val="right" w:leader="dot" w:pos="9360"/>
      </w:tabs>
      <w:suppressAutoHyphens/>
      <w:ind w:left="360" w:right="720" w:hanging="360"/>
    </w:pPr>
    <w:rPr>
      <w:caps/>
      <w:noProof/>
    </w:rPr>
  </w:style>
  <w:style w:type="paragraph" w:styleId="TOC2">
    <w:name w:val="toc 2"/>
    <w:basedOn w:val="Normal"/>
    <w:next w:val="Normal"/>
    <w:uiPriority w:val="39"/>
    <w:rsid w:val="00641B5D"/>
    <w:pPr>
      <w:tabs>
        <w:tab w:val="left" w:pos="720"/>
        <w:tab w:val="right" w:leader="dot" w:pos="9360"/>
      </w:tabs>
      <w:suppressAutoHyphens/>
      <w:ind w:left="720" w:right="720" w:hanging="360"/>
    </w:pPr>
    <w:rPr>
      <w:noProof/>
    </w:rPr>
  </w:style>
  <w:style w:type="paragraph" w:styleId="TOC3">
    <w:name w:val="toc 3"/>
    <w:basedOn w:val="Normal"/>
    <w:next w:val="Normal"/>
    <w:uiPriority w:val="39"/>
    <w:rsid w:val="00641B5D"/>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39"/>
    <w:rsid w:val="00641B5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41B5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41B5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41B5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41B5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41B5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41B5D"/>
    <w:pPr>
      <w:tabs>
        <w:tab w:val="right" w:pos="9360"/>
      </w:tabs>
      <w:suppressAutoHyphens/>
    </w:pPr>
  </w:style>
  <w:style w:type="character" w:customStyle="1" w:styleId="EquationCaption">
    <w:name w:val="_Equation Caption"/>
    <w:rsid w:val="00641B5D"/>
  </w:style>
  <w:style w:type="paragraph" w:styleId="Header">
    <w:name w:val="header"/>
    <w:basedOn w:val="Normal"/>
    <w:link w:val="HeaderChar"/>
    <w:autoRedefine/>
    <w:rsid w:val="00641B5D"/>
    <w:pPr>
      <w:tabs>
        <w:tab w:val="center" w:pos="4680"/>
        <w:tab w:val="right" w:pos="9360"/>
      </w:tabs>
    </w:pPr>
    <w:rPr>
      <w:b/>
    </w:rPr>
  </w:style>
  <w:style w:type="character" w:customStyle="1" w:styleId="HeaderChar">
    <w:name w:val="Header Char"/>
    <w:link w:val="Header"/>
    <w:locked/>
    <w:rsid w:val="007B1466"/>
    <w:rPr>
      <w:rFonts w:eastAsia="MS Mincho" w:cs="Arial"/>
      <w:bCs/>
      <w:kern w:val="32"/>
      <w:sz w:val="32"/>
      <w:szCs w:val="32"/>
      <w:lang w:val="x-none" w:eastAsia="ja-JP"/>
    </w:rPr>
  </w:style>
  <w:style w:type="paragraph" w:styleId="Footer">
    <w:name w:val="footer"/>
    <w:basedOn w:val="Normal"/>
    <w:link w:val="FooterChar"/>
    <w:rsid w:val="00641B5D"/>
    <w:pPr>
      <w:tabs>
        <w:tab w:val="center" w:pos="4320"/>
        <w:tab w:val="right" w:pos="8640"/>
      </w:tabs>
    </w:pPr>
  </w:style>
  <w:style w:type="character" w:customStyle="1" w:styleId="FooterChar">
    <w:name w:val="Footer Char"/>
    <w:link w:val="Footer"/>
    <w:locked/>
    <w:rsid w:val="007B1466"/>
    <w:rPr>
      <w:rFonts w:eastAsia="MS Mincho" w:cs="Arial"/>
      <w:bCs/>
      <w:kern w:val="32"/>
      <w:sz w:val="32"/>
      <w:szCs w:val="32"/>
      <w:lang w:val="x-none" w:eastAsia="ja-JP"/>
    </w:rPr>
  </w:style>
  <w:style w:type="character" w:styleId="PageNumber">
    <w:name w:val="page number"/>
    <w:rsid w:val="00641B5D"/>
    <w:rPr>
      <w:rFonts w:cs="Times New Roman"/>
    </w:rPr>
  </w:style>
  <w:style w:type="paragraph" w:styleId="BlockText">
    <w:name w:val="Block Text"/>
    <w:basedOn w:val="Normal"/>
    <w:rsid w:val="00641B5D"/>
    <w:pPr>
      <w:spacing w:after="240"/>
      <w:ind w:left="1440" w:right="1440"/>
    </w:pPr>
  </w:style>
  <w:style w:type="paragraph" w:customStyle="1" w:styleId="Paratitle">
    <w:name w:val="Para title"/>
    <w:basedOn w:val="Normal"/>
    <w:rsid w:val="00641B5D"/>
    <w:pPr>
      <w:tabs>
        <w:tab w:val="center" w:pos="9270"/>
      </w:tabs>
      <w:spacing w:after="240"/>
    </w:pPr>
    <w:rPr>
      <w:spacing w:val="-2"/>
    </w:rPr>
  </w:style>
  <w:style w:type="paragraph" w:customStyle="1" w:styleId="Bullet">
    <w:name w:val="Bullet"/>
    <w:basedOn w:val="Normal"/>
    <w:rsid w:val="00641B5D"/>
    <w:pPr>
      <w:numPr>
        <w:numId w:val="1"/>
      </w:numPr>
      <w:tabs>
        <w:tab w:val="clear" w:pos="360"/>
        <w:tab w:val="left" w:pos="2160"/>
      </w:tabs>
      <w:spacing w:after="220"/>
      <w:ind w:left="2160" w:hanging="720"/>
    </w:pPr>
  </w:style>
  <w:style w:type="paragraph" w:customStyle="1" w:styleId="TableFormat">
    <w:name w:val="TableFormat"/>
    <w:basedOn w:val="Bullet"/>
    <w:rsid w:val="00641B5D"/>
    <w:pPr>
      <w:numPr>
        <w:numId w:val="0"/>
      </w:numPr>
      <w:tabs>
        <w:tab w:val="clear" w:pos="2160"/>
        <w:tab w:val="left" w:pos="5040"/>
      </w:tabs>
      <w:ind w:left="5040" w:hanging="3600"/>
    </w:pPr>
  </w:style>
  <w:style w:type="paragraph" w:customStyle="1" w:styleId="TOCTitle">
    <w:name w:val="TOC Title"/>
    <w:basedOn w:val="Normal"/>
    <w:rsid w:val="00641B5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val="0"/>
      <w:caps/>
      <w:szCs w:val="22"/>
    </w:rPr>
  </w:style>
  <w:style w:type="character" w:styleId="Hyperlink">
    <w:name w:val="Hyperlink"/>
    <w:uiPriority w:val="99"/>
    <w:rsid w:val="002A2D2E"/>
    <w:rPr>
      <w:rFonts w:cs="Times New Roman"/>
      <w:color w:val="0000FF"/>
      <w:u w:val="single"/>
    </w:rPr>
  </w:style>
  <w:style w:type="character" w:customStyle="1" w:styleId="FootnoteTextChar1">
    <w:name w:val="Footnote Text Char1"/>
    <w:aliases w:val="FOOTNOTE Char,Footnote Text Char2 Char1 Char1 Char Char Char1,Footnote Text Char2 Char1 Char1 Char1,Footnote Text Char2 Char3 Char,Footnote Text Char3 Char1 Char Char Char1,Footnote Text Char3 Char1 Char1,Footnote Text Char6 Char1"/>
    <w:link w:val="FootnoteText"/>
    <w:semiHidden/>
    <w:locked/>
    <w:rsid w:val="00C92E9C"/>
    <w:rPr>
      <w:lang w:val="en-US" w:eastAsia="en-US"/>
    </w:rPr>
  </w:style>
  <w:style w:type="character" w:styleId="CommentReference">
    <w:name w:val="annotation reference"/>
    <w:semiHidden/>
    <w:rsid w:val="00C217A6"/>
    <w:rPr>
      <w:rFonts w:cs="Times New Roman"/>
      <w:sz w:val="16"/>
    </w:rPr>
  </w:style>
  <w:style w:type="table" w:styleId="TableGrid">
    <w:name w:val="Table Grid"/>
    <w:basedOn w:val="TableNormal"/>
    <w:rsid w:val="000E44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6Char2">
    <w:name w:val="Footnote Text Char6 Char2"/>
    <w:aliases w:val="Footnote Text Char2 Char1 Char1 Char Char Char2,Footnote Text Char2 Char1 Char1 Char2,Footnote Text Char3 Char1 Char Char Char Char Char1,Footnote Text Char3 Char1 Char Char Char2,Footnote Text Char3 Char1 Char2,fn Char Char"/>
    <w:locked/>
    <w:rsid w:val="000E44C8"/>
    <w:rPr>
      <w:b/>
      <w:snapToGrid w:val="0"/>
      <w:lang w:val="en-US" w:eastAsia="en-US"/>
    </w:rPr>
  </w:style>
  <w:style w:type="table" w:styleId="TableList1">
    <w:name w:val="Table List 1"/>
    <w:basedOn w:val="TableNormal"/>
    <w:rsid w:val="00A0263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rsid w:val="007738B2"/>
    <w:rPr>
      <w:rFonts w:cs="Times New Roman"/>
      <w:sz w:val="20"/>
      <w:szCs w:val="20"/>
    </w:rPr>
  </w:style>
  <w:style w:type="character" w:customStyle="1" w:styleId="CommentTextChar">
    <w:name w:val="Comment Text Char"/>
    <w:link w:val="CommentText"/>
    <w:uiPriority w:val="99"/>
    <w:locked/>
    <w:rsid w:val="007738B2"/>
    <w:rPr>
      <w:rFonts w:eastAsia="MS Mincho" w:cs="Times New Roman"/>
      <w:kern w:val="32"/>
      <w:lang w:val="x-none" w:eastAsia="ja-JP"/>
    </w:rPr>
  </w:style>
  <w:style w:type="paragraph" w:styleId="CommentSubject">
    <w:name w:val="annotation subject"/>
    <w:basedOn w:val="CommentText"/>
    <w:next w:val="CommentText"/>
    <w:link w:val="CommentSubjectChar"/>
    <w:rsid w:val="007738B2"/>
    <w:rPr>
      <w:b/>
    </w:rPr>
  </w:style>
  <w:style w:type="character" w:customStyle="1" w:styleId="CommentSubjectChar">
    <w:name w:val="Comment Subject Char"/>
    <w:link w:val="CommentSubject"/>
    <w:locked/>
    <w:rsid w:val="007738B2"/>
    <w:rPr>
      <w:rFonts w:eastAsia="MS Mincho" w:cs="Times New Roman"/>
      <w:b/>
      <w:kern w:val="32"/>
      <w:lang w:val="x-none" w:eastAsia="ja-JP"/>
    </w:rPr>
  </w:style>
  <w:style w:type="paragraph" w:styleId="ListParagraph">
    <w:name w:val="List Paragraph"/>
    <w:basedOn w:val="Normal"/>
    <w:uiPriority w:val="34"/>
    <w:qFormat/>
    <w:rsid w:val="00C43196"/>
    <w:pPr>
      <w:ind w:left="720"/>
    </w:pPr>
  </w:style>
  <w:style w:type="character" w:customStyle="1" w:styleId="ParaNumChar">
    <w:name w:val="ParaNum Char"/>
    <w:link w:val="ParaNum"/>
    <w:locked/>
    <w:rsid w:val="00DA5C40"/>
    <w:rPr>
      <w:rFonts w:eastAsia="MS Mincho" w:cs="Arial"/>
      <w:bCs/>
      <w:kern w:val="32"/>
      <w:sz w:val="22"/>
      <w:szCs w:val="32"/>
      <w:lang w:eastAsia="ja-JP"/>
    </w:rPr>
  </w:style>
  <w:style w:type="character" w:styleId="PlaceholderText">
    <w:name w:val="Placeholder Text"/>
    <w:basedOn w:val="DefaultParagraphFont"/>
    <w:uiPriority w:val="99"/>
    <w:semiHidden/>
    <w:rsid w:val="00E058BD"/>
    <w:rPr>
      <w:color w:val="808080"/>
    </w:rPr>
  </w:style>
  <w:style w:type="paragraph" w:styleId="NormalWeb">
    <w:name w:val="Normal (Web)"/>
    <w:basedOn w:val="Normal"/>
    <w:uiPriority w:val="99"/>
    <w:semiHidden/>
    <w:unhideWhenUsed/>
    <w:locked/>
    <w:rsid w:val="00530A1C"/>
    <w:pPr>
      <w:spacing w:before="100" w:beforeAutospacing="1" w:after="100" w:afterAutospacing="1"/>
    </w:pPr>
    <w:rPr>
      <w:rFonts w:eastAsiaTheme="minorEastAsia" w:cs="Times New Roman"/>
      <w:bCs w:val="0"/>
      <w:kern w:val="0"/>
      <w:sz w:val="24"/>
      <w:szCs w:val="24"/>
      <w:lang w:eastAsia="en-US"/>
    </w:rPr>
  </w:style>
  <w:style w:type="character" w:styleId="FollowedHyperlink">
    <w:name w:val="FollowedHyperlink"/>
    <w:basedOn w:val="DefaultParagraphFont"/>
    <w:semiHidden/>
    <w:unhideWhenUsed/>
    <w:locked/>
    <w:rsid w:val="00621D38"/>
    <w:rPr>
      <w:color w:val="800080" w:themeColor="followedHyperlink"/>
      <w:u w:val="single"/>
    </w:rPr>
  </w:style>
  <w:style w:type="paragraph" w:styleId="Revision">
    <w:name w:val="Revision"/>
    <w:hidden/>
    <w:uiPriority w:val="99"/>
    <w:semiHidden/>
    <w:rsid w:val="00546076"/>
    <w:rPr>
      <w:rFonts w:eastAsia="MS Mincho" w:cs="Arial"/>
      <w:bCs/>
      <w:kern w:val="32"/>
      <w:sz w:val="22"/>
      <w:szCs w:val="32"/>
      <w:lang w:eastAsia="ja-JP"/>
    </w:rPr>
  </w:style>
  <w:style w:type="character" w:styleId="Emphasis">
    <w:name w:val="Emphasis"/>
    <w:basedOn w:val="DefaultParagraphFont"/>
    <w:qFormat/>
    <w:rsid w:val="00ED20C2"/>
    <w:rPr>
      <w:i/>
      <w:iCs/>
    </w:rPr>
  </w:style>
  <w:style w:type="character" w:customStyle="1" w:styleId="UnresolvedMention1">
    <w:name w:val="Unresolved Mention1"/>
    <w:basedOn w:val="DefaultParagraphFont"/>
    <w:uiPriority w:val="99"/>
    <w:semiHidden/>
    <w:unhideWhenUsed/>
    <w:rsid w:val="00921F95"/>
    <w:rPr>
      <w:color w:val="808080"/>
      <w:shd w:val="clear" w:color="auto" w:fill="E6E6E6"/>
    </w:rPr>
  </w:style>
  <w:style w:type="character" w:customStyle="1" w:styleId="UnresolvedMention2">
    <w:name w:val="Unresolved Mention2"/>
    <w:basedOn w:val="DefaultParagraphFont"/>
    <w:uiPriority w:val="99"/>
    <w:semiHidden/>
    <w:unhideWhenUsed/>
    <w:rsid w:val="00A81DEB"/>
    <w:rPr>
      <w:color w:val="808080"/>
      <w:shd w:val="clear" w:color="auto" w:fill="E6E6E6"/>
    </w:rPr>
  </w:style>
  <w:style w:type="paragraph" w:styleId="TOCHeading">
    <w:name w:val="TOC Heading"/>
    <w:basedOn w:val="Heading1"/>
    <w:next w:val="Normal"/>
    <w:uiPriority w:val="39"/>
    <w:unhideWhenUsed/>
    <w:qFormat/>
    <w:rsid w:val="006E5E75"/>
    <w:pPr>
      <w:keepLines/>
      <w:numPr>
        <w:numId w:val="0"/>
      </w:numPr>
      <w:suppressAutoHyphens w:val="0"/>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UnresolvedMention">
    <w:name w:val="Unresolved Mention"/>
    <w:basedOn w:val="DefaultParagraphFont"/>
    <w:uiPriority w:val="99"/>
    <w:semiHidden/>
    <w:unhideWhenUsed/>
    <w:rsid w:val="00A150FE"/>
    <w:rPr>
      <w:color w:val="605E5C"/>
      <w:shd w:val="clear" w:color="auto" w:fill="E1DFDD"/>
    </w:rPr>
  </w:style>
  <w:style w:type="paragraph" w:styleId="PlainText">
    <w:name w:val="Plain Text"/>
    <w:basedOn w:val="Normal"/>
    <w:link w:val="PlainTextChar"/>
    <w:semiHidden/>
    <w:unhideWhenUsed/>
    <w:locked/>
    <w:rsid w:val="0027737B"/>
    <w:rPr>
      <w:rFonts w:ascii="Consolas" w:hAnsi="Consolas"/>
      <w:sz w:val="21"/>
      <w:szCs w:val="21"/>
    </w:rPr>
  </w:style>
  <w:style w:type="character" w:customStyle="1" w:styleId="PlainTextChar">
    <w:name w:val="Plain Text Char"/>
    <w:basedOn w:val="DefaultParagraphFont"/>
    <w:link w:val="PlainText"/>
    <w:semiHidden/>
    <w:rsid w:val="0027737B"/>
    <w:rPr>
      <w:rFonts w:ascii="Consolas" w:eastAsia="MS Mincho" w:hAnsi="Consolas" w:cs="Arial"/>
      <w:bCs/>
      <w:kern w:val="32"/>
      <w:sz w:val="21"/>
      <w:szCs w:val="21"/>
      <w:lang w:eastAsia="ja-JP"/>
    </w:rPr>
  </w:style>
  <w:style w:type="paragraph" w:customStyle="1" w:styleId="xmsonormal">
    <w:name w:val="x_msonormal"/>
    <w:basedOn w:val="Normal"/>
    <w:rsid w:val="00072279"/>
    <w:rPr>
      <w:rFonts w:ascii="Calibri" w:hAnsi="Calibri" w:eastAsiaTheme="minorHAnsi" w:cs="Calibri"/>
      <w:bCs w:val="0"/>
      <w:kern w:val="0"/>
      <w:szCs w:val="22"/>
      <w:lang w:eastAsia="en-US"/>
    </w:rPr>
  </w:style>
  <w:style w:type="paragraph" w:customStyle="1" w:styleId="xmsocommenttext">
    <w:name w:val="x_msocommenttext"/>
    <w:basedOn w:val="Normal"/>
    <w:rsid w:val="00072279"/>
    <w:rPr>
      <w:rFonts w:ascii="Calibri" w:hAnsi="Calibri" w:eastAsiaTheme="minorHAnsi" w:cs="Calibri"/>
      <w:bCs w:val="0"/>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png" /></Relationships>
</file>

<file path=word/_rels/footnotes.xml.rels>&#65279;<?xml version="1.0" encoding="utf-8" standalone="yes"?><Relationships xmlns="http://schemas.openxmlformats.org/package/2006/relationships"><Relationship Id="rId1" Type="http://schemas.openxmlformats.org/officeDocument/2006/relationships/hyperlink" Target="https://1.next.westlaw.com/Link/Document/FullText?findType=L&amp;pubNum=1000547&amp;cite=47CFRS10.10&amp;originatingDoc=Ibfa320bd29dd11e8a2e69b122173a65f&amp;refType=RB&amp;originationContext=document&amp;transitionType=DocumentItem&amp;contextData=(sc.Search)" TargetMode="External" /><Relationship Id="rId10" Type="http://schemas.openxmlformats.org/officeDocument/2006/relationships/hyperlink" Target="https://www.fcc.gov/document/report-2017-nationwide-emergency-alert-system-test" TargetMode="External" /><Relationship Id="rId11" Type="http://schemas.openxmlformats.org/officeDocument/2006/relationships/hyperlink" Target="http://www.fcc.gov/document/strengthening-emergency-alert-system" TargetMode="External" /><Relationship Id="rId12" Type="http://schemas.openxmlformats.org/officeDocument/2006/relationships/hyperlink" Target="https://q13fox.com/2018/10/03/att-reports-widespread-outages-for-wireless-customers-in-washington-oregon-and-alaska/" TargetMode="External" /><Relationship Id="rId13" Type="http://schemas.openxmlformats.org/officeDocument/2006/relationships/hyperlink" Target="https://www.seattletimes.com/business/regions-cell-networks-disrupted-after-presidential-text-alert/" TargetMode="External" /><Relationship Id="rId14" Type="http://schemas.openxmlformats.org/officeDocument/2006/relationships/hyperlink" Target="https://kpax.com/news/montana-news/2018/10/03/if-you-didnt-get-that-presidential-alert-text-message-today-youre-not-alone/" TargetMode="External" /><Relationship Id="rId15" Type="http://schemas.openxmlformats.org/officeDocument/2006/relationships/hyperlink" Target="https://www.telegraph.co.uk/technology/2018/10/04/first-test-us-disaster-alert-system-runs-technical-problems/" TargetMode="External" /><Relationship Id="rId16" Type="http://schemas.openxmlformats.org/officeDocument/2006/relationships/hyperlink" Target="https://www.jhnewsandguide.com/jackson_hole_daily/local/article_971040f1-68eb-5809-a599-de8d6a4e694d.html" TargetMode="External" /><Relationship Id="rId17" Type="http://schemas.openxmlformats.org/officeDocument/2006/relationships/hyperlink" Target="https://www.localnews8.com/news/thousands-didn-t-receive-presidential-alert/803087405" TargetMode="External" /><Relationship Id="rId18" Type="http://schemas.openxmlformats.org/officeDocument/2006/relationships/hyperlink" Target="https://abc7news.com/didnt-get-the-nationwide-alert-this-might-be-why/4405202/" TargetMode="External" /><Relationship Id="rId19" Type="http://schemas.openxmlformats.org/officeDocument/2006/relationships/hyperlink" Target="https://www.fcc.gov/pshs/docs/services/cmas/MasterCMASRegistry.xls" TargetMode="External" /><Relationship Id="rId2" Type="http://schemas.openxmlformats.org/officeDocument/2006/relationships/hyperlink" Target="https://www.everbridge.com/blog/the-presidential-alert-was-it-a-success/" TargetMode="External" /><Relationship Id="rId20" Type="http://schemas.openxmlformats.org/officeDocument/2006/relationships/hyperlink" Target="http://www.nws.noaa.gov/nwr/same.htm" TargetMode="External" /><Relationship Id="rId21" Type="http://schemas.openxmlformats.org/officeDocument/2006/relationships/hyperlink" Target="https://www.fema.gov/integrated-public-alert-warning-system" TargetMode="External" /><Relationship Id="rId22" Type="http://schemas.openxmlformats.org/officeDocument/2006/relationships/hyperlink" Target="http://docs.oasis-open.org/emergency/cap/v1.2/CAP-v1.2-os.html" TargetMode="External" /><Relationship Id="rId3" Type="http://schemas.openxmlformats.org/officeDocument/2006/relationships/hyperlink" Target="https://www.wired.com/story/why-didnt-i-get-emergency-presidential-alert-text/" TargetMode="External" /><Relationship Id="rId4" Type="http://schemas.openxmlformats.org/officeDocument/2006/relationships/hyperlink" Target="https://www.fema.gov/alerting-authorities" TargetMode="External" /><Relationship Id="rId5" Type="http://schemas.openxmlformats.org/officeDocument/2006/relationships/hyperlink" Target="http://www.amberalert.gov/about.htm" TargetMode="External" /><Relationship Id="rId6" Type="http://schemas.openxmlformats.org/officeDocument/2006/relationships/hyperlink" Target="https://www.ghs.guam.gov/nationwide-emergency-alert-system-test-planned" TargetMode="External" /><Relationship Id="rId7" Type="http://schemas.openxmlformats.org/officeDocument/2006/relationships/hyperlink" Target="https://www.ktuu.com/content/news/Presidential-Alert-results-in-Alaska-split-almost-50-50-survey-says-496752991.html" TargetMode="External" /><Relationship Id="rId8" Type="http://schemas.openxmlformats.org/officeDocument/2006/relationships/hyperlink" Target="https://www.nad.org/national-alert-survey/" TargetMode="External" /><Relationship Id="rId9" Type="http://schemas.openxmlformats.org/officeDocument/2006/relationships/hyperlink" Target="https://apps.fcc.gov/edocs_public/attachmatch/DOC-344518A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